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0523" w14:textId="66F54881" w:rsidR="004571B9" w:rsidRDefault="00592A53" w:rsidP="004571B9">
      <w:pPr>
        <w:spacing w:before="240" w:after="240" w:line="280" w:lineRule="exact"/>
        <w:rPr>
          <w:rFonts w:ascii="Arial" w:hAnsi="Arial" w:cs="Arial"/>
          <w:b/>
          <w:sz w:val="28"/>
          <w:szCs w:val="28"/>
        </w:rPr>
      </w:pPr>
      <w:r>
        <w:rPr>
          <w:rFonts w:ascii="Arial" w:hAnsi="Arial" w:cs="Arial"/>
          <w:b/>
          <w:sz w:val="28"/>
          <w:szCs w:val="28"/>
        </w:rPr>
        <w:t>Performance Report</w:t>
      </w:r>
      <w:r w:rsidR="002C2419">
        <w:rPr>
          <w:rFonts w:ascii="Arial" w:hAnsi="Arial" w:cs="Arial"/>
          <w:b/>
          <w:sz w:val="28"/>
          <w:szCs w:val="28"/>
        </w:rPr>
        <w:t xml:space="preserve"> and </w:t>
      </w:r>
      <w:r w:rsidR="00A20995">
        <w:rPr>
          <w:rFonts w:ascii="Arial" w:hAnsi="Arial" w:cs="Arial"/>
          <w:b/>
          <w:sz w:val="28"/>
          <w:szCs w:val="28"/>
        </w:rPr>
        <w:t>Memorandum of Understanding</w:t>
      </w:r>
      <w:r w:rsidR="002C2419">
        <w:rPr>
          <w:rFonts w:ascii="Arial" w:hAnsi="Arial" w:cs="Arial"/>
          <w:b/>
          <w:sz w:val="28"/>
          <w:szCs w:val="28"/>
        </w:rPr>
        <w:t xml:space="preserve"> for 18/19</w:t>
      </w:r>
    </w:p>
    <w:p w14:paraId="38FF3EA0" w14:textId="77777777" w:rsidR="00A20995" w:rsidRDefault="00A20995" w:rsidP="0090119F">
      <w:pPr>
        <w:spacing w:before="240" w:after="240" w:line="280" w:lineRule="exact"/>
        <w:rPr>
          <w:rFonts w:ascii="Arial" w:hAnsi="Arial" w:cs="Arial"/>
          <w:b/>
        </w:rPr>
      </w:pPr>
    </w:p>
    <w:p w14:paraId="336BC823" w14:textId="77777777" w:rsidR="004571B9" w:rsidRPr="00A20995" w:rsidRDefault="0090119F" w:rsidP="0090119F">
      <w:pPr>
        <w:spacing w:before="240" w:after="240" w:line="280" w:lineRule="exact"/>
        <w:rPr>
          <w:rFonts w:ascii="Arial" w:hAnsi="Arial" w:cs="Arial"/>
          <w:b/>
          <w:sz w:val="22"/>
          <w:szCs w:val="22"/>
        </w:rPr>
      </w:pPr>
      <w:r w:rsidRPr="00A20995">
        <w:rPr>
          <w:rFonts w:ascii="Arial" w:hAnsi="Arial" w:cs="Arial"/>
          <w:b/>
          <w:sz w:val="22"/>
          <w:szCs w:val="22"/>
        </w:rPr>
        <w:t>P</w:t>
      </w:r>
      <w:r w:rsidR="004571B9" w:rsidRPr="00A20995">
        <w:rPr>
          <w:rFonts w:ascii="Arial" w:hAnsi="Arial" w:cs="Arial"/>
          <w:b/>
          <w:sz w:val="22"/>
          <w:szCs w:val="22"/>
        </w:rPr>
        <w:t xml:space="preserve">urpose </w:t>
      </w:r>
    </w:p>
    <w:p w14:paraId="49424821" w14:textId="77777777" w:rsidR="004571B9" w:rsidRPr="00A20995" w:rsidRDefault="004571B9" w:rsidP="004571B9">
      <w:pPr>
        <w:rPr>
          <w:rFonts w:ascii="Arial" w:hAnsi="Arial" w:cs="Arial"/>
          <w:b/>
          <w:sz w:val="22"/>
          <w:szCs w:val="22"/>
        </w:rPr>
      </w:pPr>
      <w:r w:rsidRPr="00A20995">
        <w:rPr>
          <w:rFonts w:ascii="Arial" w:hAnsi="Arial" w:cs="Arial"/>
          <w:sz w:val="22"/>
          <w:szCs w:val="22"/>
        </w:rPr>
        <w:t>For d</w:t>
      </w:r>
      <w:r w:rsidR="006F500E" w:rsidRPr="00A20995">
        <w:rPr>
          <w:rFonts w:ascii="Arial" w:hAnsi="Arial" w:cs="Arial"/>
          <w:sz w:val="22"/>
          <w:szCs w:val="22"/>
        </w:rPr>
        <w:t>iscussion</w:t>
      </w:r>
    </w:p>
    <w:p w14:paraId="0ED600F1" w14:textId="77777777" w:rsidR="004571B9" w:rsidRPr="00A20995" w:rsidRDefault="004571B9" w:rsidP="004571B9">
      <w:pPr>
        <w:rPr>
          <w:rFonts w:ascii="Arial" w:hAnsi="Arial" w:cs="Arial"/>
          <w:b/>
          <w:sz w:val="22"/>
          <w:szCs w:val="22"/>
        </w:rPr>
      </w:pPr>
    </w:p>
    <w:p w14:paraId="42EEE70E" w14:textId="77777777" w:rsidR="004571B9" w:rsidRPr="00A20995" w:rsidRDefault="004571B9" w:rsidP="004571B9">
      <w:pPr>
        <w:rPr>
          <w:rFonts w:ascii="Arial" w:hAnsi="Arial" w:cs="Arial"/>
          <w:sz w:val="22"/>
          <w:szCs w:val="22"/>
        </w:rPr>
      </w:pPr>
      <w:r w:rsidRPr="00A20995">
        <w:rPr>
          <w:rFonts w:ascii="Arial" w:hAnsi="Arial" w:cs="Arial"/>
          <w:b/>
          <w:sz w:val="22"/>
          <w:szCs w:val="22"/>
        </w:rPr>
        <w:t>Summary</w:t>
      </w:r>
    </w:p>
    <w:p w14:paraId="6222E531" w14:textId="77777777" w:rsidR="004571B9" w:rsidRPr="00A20995" w:rsidRDefault="004571B9" w:rsidP="004571B9">
      <w:pPr>
        <w:rPr>
          <w:rFonts w:ascii="Arial" w:hAnsi="Arial" w:cs="Arial"/>
          <w:sz w:val="22"/>
          <w:szCs w:val="22"/>
        </w:rPr>
      </w:pPr>
    </w:p>
    <w:p w14:paraId="6F474C84" w14:textId="77777777" w:rsidR="00BA621E" w:rsidRDefault="00B57AED" w:rsidP="00BA621E">
      <w:pPr>
        <w:autoSpaceDE w:val="0"/>
        <w:autoSpaceDN w:val="0"/>
        <w:adjustRightInd w:val="0"/>
        <w:rPr>
          <w:rFonts w:ascii="Arial" w:hAnsi="Arial" w:cs="Arial"/>
          <w:sz w:val="22"/>
          <w:szCs w:val="22"/>
        </w:rPr>
      </w:pPr>
      <w:r w:rsidRPr="00A20995">
        <w:rPr>
          <w:rFonts w:ascii="Arial" w:hAnsi="Arial" w:cs="Arial"/>
          <w:sz w:val="22"/>
          <w:szCs w:val="22"/>
        </w:rPr>
        <w:t>Th</w:t>
      </w:r>
      <w:r w:rsidR="009A1CE2" w:rsidRPr="00A20995">
        <w:rPr>
          <w:rFonts w:ascii="Arial" w:hAnsi="Arial" w:cs="Arial"/>
          <w:sz w:val="22"/>
          <w:szCs w:val="22"/>
        </w:rPr>
        <w:t xml:space="preserve">e report presents an update of </w:t>
      </w:r>
      <w:r w:rsidR="00010011" w:rsidRPr="00A20995">
        <w:rPr>
          <w:rFonts w:ascii="Arial" w:hAnsi="Arial" w:cs="Arial"/>
          <w:sz w:val="22"/>
          <w:szCs w:val="22"/>
        </w:rPr>
        <w:t xml:space="preserve">performance against </w:t>
      </w:r>
      <w:r w:rsidR="004E0590" w:rsidRPr="00A20995">
        <w:rPr>
          <w:rFonts w:ascii="Arial" w:hAnsi="Arial" w:cs="Arial"/>
          <w:sz w:val="22"/>
          <w:szCs w:val="22"/>
        </w:rPr>
        <w:t xml:space="preserve">the Memorandum of Understanding </w:t>
      </w:r>
      <w:r w:rsidR="00A20995">
        <w:rPr>
          <w:rFonts w:ascii="Arial" w:hAnsi="Arial" w:cs="Arial"/>
          <w:sz w:val="22"/>
          <w:szCs w:val="22"/>
        </w:rPr>
        <w:t xml:space="preserve">(MoU) </w:t>
      </w:r>
      <w:r w:rsidR="009A1CE2" w:rsidRPr="00A20995">
        <w:rPr>
          <w:rFonts w:ascii="Arial" w:hAnsi="Arial" w:cs="Arial"/>
          <w:sz w:val="22"/>
          <w:szCs w:val="22"/>
        </w:rPr>
        <w:t>the LGA/</w:t>
      </w:r>
      <w:proofErr w:type="spellStart"/>
      <w:r w:rsidR="009A1CE2" w:rsidRPr="00A20995">
        <w:rPr>
          <w:rFonts w:ascii="Arial" w:hAnsi="Arial" w:cs="Arial"/>
          <w:sz w:val="22"/>
          <w:szCs w:val="22"/>
        </w:rPr>
        <w:t>IDeA</w:t>
      </w:r>
      <w:proofErr w:type="spellEnd"/>
      <w:r w:rsidR="009A1CE2" w:rsidRPr="00A20995">
        <w:rPr>
          <w:rFonts w:ascii="Arial" w:hAnsi="Arial" w:cs="Arial"/>
          <w:sz w:val="22"/>
          <w:szCs w:val="22"/>
        </w:rPr>
        <w:t xml:space="preserve"> have with </w:t>
      </w:r>
      <w:r w:rsidR="00BA621E">
        <w:rPr>
          <w:rFonts w:ascii="Arial" w:hAnsi="Arial" w:cs="Arial"/>
          <w:sz w:val="22"/>
          <w:szCs w:val="22"/>
        </w:rPr>
        <w:t>the Ministry of Housing,</w:t>
      </w:r>
    </w:p>
    <w:p w14:paraId="6FBF7239" w14:textId="33DD86AE" w:rsidR="00C568BF" w:rsidRPr="00A20995" w:rsidRDefault="00BA621E" w:rsidP="00BA621E">
      <w:pPr>
        <w:rPr>
          <w:rFonts w:ascii="Arial" w:hAnsi="Arial" w:cs="Arial"/>
          <w:sz w:val="22"/>
          <w:szCs w:val="22"/>
        </w:rPr>
      </w:pPr>
      <w:r>
        <w:rPr>
          <w:rFonts w:ascii="Arial" w:hAnsi="Arial" w:cs="Arial"/>
          <w:sz w:val="22"/>
          <w:szCs w:val="22"/>
        </w:rPr>
        <w:t>Communities and Local Government (MHCLG)</w:t>
      </w:r>
      <w:r w:rsidRPr="00A20995">
        <w:rPr>
          <w:rFonts w:ascii="Arial" w:hAnsi="Arial" w:cs="Arial"/>
          <w:sz w:val="22"/>
          <w:szCs w:val="22"/>
        </w:rPr>
        <w:t xml:space="preserve"> </w:t>
      </w:r>
      <w:r w:rsidR="004E0590" w:rsidRPr="00A20995">
        <w:rPr>
          <w:rFonts w:ascii="Arial" w:hAnsi="Arial" w:cs="Arial"/>
          <w:sz w:val="22"/>
          <w:szCs w:val="22"/>
        </w:rPr>
        <w:t xml:space="preserve">about the use of </w:t>
      </w:r>
      <w:r w:rsidR="0090636C" w:rsidRPr="00A20995">
        <w:rPr>
          <w:rFonts w:ascii="Arial" w:hAnsi="Arial" w:cs="Arial"/>
          <w:sz w:val="22"/>
          <w:szCs w:val="22"/>
        </w:rPr>
        <w:t>grant</w:t>
      </w:r>
      <w:r w:rsidR="002C2419" w:rsidRPr="00A20995">
        <w:rPr>
          <w:rFonts w:ascii="Arial" w:hAnsi="Arial" w:cs="Arial"/>
          <w:sz w:val="22"/>
          <w:szCs w:val="22"/>
        </w:rPr>
        <w:t xml:space="preserve"> for 2017/18</w:t>
      </w:r>
      <w:r w:rsidR="00CA5BBC" w:rsidRPr="00A20995">
        <w:rPr>
          <w:rFonts w:ascii="Arial" w:hAnsi="Arial" w:cs="Arial"/>
          <w:sz w:val="22"/>
          <w:szCs w:val="22"/>
        </w:rPr>
        <w:t xml:space="preserve"> and the finalised </w:t>
      </w:r>
      <w:r w:rsidR="00A20995" w:rsidRPr="00A20995">
        <w:rPr>
          <w:rFonts w:ascii="Arial" w:hAnsi="Arial" w:cs="Arial"/>
          <w:sz w:val="22"/>
          <w:szCs w:val="22"/>
        </w:rPr>
        <w:t>M</w:t>
      </w:r>
      <w:r w:rsidR="00A20995">
        <w:rPr>
          <w:rFonts w:ascii="Arial" w:hAnsi="Arial" w:cs="Arial"/>
          <w:sz w:val="22"/>
          <w:szCs w:val="22"/>
        </w:rPr>
        <w:t>o</w:t>
      </w:r>
      <w:r w:rsidR="00A20995" w:rsidRPr="00A20995">
        <w:rPr>
          <w:rFonts w:ascii="Arial" w:hAnsi="Arial" w:cs="Arial"/>
          <w:sz w:val="22"/>
          <w:szCs w:val="22"/>
        </w:rPr>
        <w:t xml:space="preserve">U </w:t>
      </w:r>
      <w:r w:rsidR="002C2419" w:rsidRPr="00A20995">
        <w:rPr>
          <w:rFonts w:ascii="Arial" w:hAnsi="Arial" w:cs="Arial"/>
          <w:sz w:val="22"/>
          <w:szCs w:val="22"/>
        </w:rPr>
        <w:t>agreed with DCLG for 2018/19</w:t>
      </w:r>
      <w:r w:rsidR="00A20995">
        <w:rPr>
          <w:rFonts w:ascii="Arial" w:hAnsi="Arial" w:cs="Arial"/>
          <w:sz w:val="22"/>
          <w:szCs w:val="22"/>
        </w:rPr>
        <w:t>.</w:t>
      </w:r>
      <w:r w:rsidR="00CA5BBC" w:rsidRPr="00A20995">
        <w:rPr>
          <w:rFonts w:ascii="Arial" w:hAnsi="Arial" w:cs="Arial"/>
          <w:sz w:val="22"/>
          <w:szCs w:val="22"/>
        </w:rPr>
        <w:t xml:space="preserve">  </w:t>
      </w:r>
    </w:p>
    <w:p w14:paraId="1E8DE45A" w14:textId="77777777" w:rsidR="004571B9" w:rsidRPr="00A20995" w:rsidRDefault="004571B9" w:rsidP="004571B9">
      <w:pPr>
        <w:rPr>
          <w:rFonts w:ascii="Arial" w:hAnsi="Arial" w:cs="Arial"/>
          <w:sz w:val="22"/>
          <w:szCs w:val="22"/>
        </w:rPr>
      </w:pPr>
    </w:p>
    <w:p w14:paraId="447E1D0C" w14:textId="77777777" w:rsidR="004571B9" w:rsidRPr="00A20995"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A20995" w14:paraId="570032EC" w14:textId="77777777" w:rsidTr="003B5722">
        <w:tc>
          <w:tcPr>
            <w:tcW w:w="9157" w:type="dxa"/>
          </w:tcPr>
          <w:p w14:paraId="352D32B9" w14:textId="77777777" w:rsidR="004571B9" w:rsidRPr="00A20995" w:rsidRDefault="004571B9" w:rsidP="004571B9">
            <w:pPr>
              <w:rPr>
                <w:rFonts w:ascii="Arial" w:hAnsi="Arial" w:cs="Arial"/>
                <w:b/>
                <w:sz w:val="22"/>
                <w:szCs w:val="22"/>
              </w:rPr>
            </w:pPr>
          </w:p>
          <w:p w14:paraId="21FFA31F" w14:textId="77777777" w:rsidR="004571B9" w:rsidRPr="00A20995" w:rsidRDefault="00010011" w:rsidP="004571B9">
            <w:pPr>
              <w:rPr>
                <w:rFonts w:ascii="Arial" w:hAnsi="Arial" w:cs="Arial"/>
                <w:b/>
                <w:sz w:val="22"/>
                <w:szCs w:val="22"/>
              </w:rPr>
            </w:pPr>
            <w:r w:rsidRPr="00A20995">
              <w:rPr>
                <w:rFonts w:ascii="Arial" w:hAnsi="Arial" w:cs="Arial"/>
                <w:b/>
                <w:sz w:val="22"/>
                <w:szCs w:val="22"/>
              </w:rPr>
              <w:t>Recommendation</w:t>
            </w:r>
          </w:p>
          <w:p w14:paraId="6721B3C7" w14:textId="77777777" w:rsidR="004571B9" w:rsidRPr="00A20995" w:rsidRDefault="004571B9" w:rsidP="004571B9">
            <w:pPr>
              <w:rPr>
                <w:rFonts w:ascii="Arial" w:hAnsi="Arial" w:cs="Arial"/>
                <w:sz w:val="22"/>
                <w:szCs w:val="22"/>
              </w:rPr>
            </w:pPr>
          </w:p>
          <w:p w14:paraId="12FAB921" w14:textId="3A9FD3B9" w:rsidR="006F500E" w:rsidRPr="00A20995" w:rsidRDefault="001C203A" w:rsidP="001C203A">
            <w:pPr>
              <w:rPr>
                <w:rFonts w:ascii="Arial" w:hAnsi="Arial" w:cs="Arial"/>
                <w:sz w:val="22"/>
                <w:szCs w:val="22"/>
              </w:rPr>
            </w:pPr>
            <w:r w:rsidRPr="00A20995">
              <w:rPr>
                <w:rFonts w:ascii="Arial" w:hAnsi="Arial" w:cs="Arial"/>
                <w:sz w:val="22"/>
                <w:szCs w:val="22"/>
              </w:rPr>
              <w:t xml:space="preserve">That </w:t>
            </w:r>
            <w:r w:rsidR="00A83FBB">
              <w:rPr>
                <w:rFonts w:ascii="Arial" w:hAnsi="Arial" w:cs="Arial"/>
                <w:sz w:val="22"/>
                <w:szCs w:val="22"/>
              </w:rPr>
              <w:t xml:space="preserve">Members of the Improvement and Innovation Board </w:t>
            </w:r>
            <w:r w:rsidR="006F500E" w:rsidRPr="00A20995">
              <w:rPr>
                <w:rFonts w:ascii="Arial" w:hAnsi="Arial" w:cs="Arial"/>
                <w:sz w:val="22"/>
                <w:szCs w:val="22"/>
              </w:rPr>
              <w:t>consider the report and agree any follow-up action</w:t>
            </w:r>
            <w:r w:rsidR="00A83FBB">
              <w:rPr>
                <w:rFonts w:ascii="Arial" w:hAnsi="Arial" w:cs="Arial"/>
                <w:sz w:val="22"/>
                <w:szCs w:val="22"/>
              </w:rPr>
              <w:t>s</w:t>
            </w:r>
            <w:r w:rsidR="006F500E" w:rsidRPr="00A20995">
              <w:rPr>
                <w:rFonts w:ascii="Arial" w:hAnsi="Arial" w:cs="Arial"/>
                <w:sz w:val="22"/>
                <w:szCs w:val="22"/>
              </w:rPr>
              <w:t>.</w:t>
            </w:r>
          </w:p>
          <w:p w14:paraId="379CE6AE" w14:textId="77777777" w:rsidR="004571B9" w:rsidRPr="00A20995" w:rsidRDefault="004571B9" w:rsidP="004571B9">
            <w:pPr>
              <w:rPr>
                <w:rFonts w:ascii="Arial" w:hAnsi="Arial" w:cs="Arial"/>
                <w:sz w:val="22"/>
                <w:szCs w:val="22"/>
              </w:rPr>
            </w:pPr>
          </w:p>
          <w:p w14:paraId="194A63D3" w14:textId="744FEB35" w:rsidR="004571B9" w:rsidRPr="00A20995" w:rsidRDefault="00A20995" w:rsidP="004571B9">
            <w:pPr>
              <w:rPr>
                <w:rFonts w:ascii="Arial" w:hAnsi="Arial" w:cs="Arial"/>
                <w:b/>
                <w:sz w:val="22"/>
                <w:szCs w:val="22"/>
              </w:rPr>
            </w:pPr>
            <w:r w:rsidRPr="00A20995">
              <w:rPr>
                <w:rFonts w:ascii="Arial" w:hAnsi="Arial" w:cs="Arial"/>
                <w:b/>
                <w:sz w:val="22"/>
                <w:szCs w:val="22"/>
              </w:rPr>
              <w:t>Action</w:t>
            </w:r>
            <w:r w:rsidR="004571B9" w:rsidRPr="00A20995">
              <w:rPr>
                <w:rFonts w:ascii="Arial" w:hAnsi="Arial" w:cs="Arial"/>
                <w:b/>
                <w:sz w:val="22"/>
                <w:szCs w:val="22"/>
              </w:rPr>
              <w:t>s</w:t>
            </w:r>
          </w:p>
          <w:p w14:paraId="55E45B7C" w14:textId="77777777" w:rsidR="004571B9" w:rsidRPr="00A20995" w:rsidRDefault="004571B9" w:rsidP="004571B9">
            <w:pPr>
              <w:rPr>
                <w:rFonts w:ascii="Arial" w:hAnsi="Arial" w:cs="Arial"/>
                <w:b/>
                <w:sz w:val="22"/>
                <w:szCs w:val="22"/>
              </w:rPr>
            </w:pPr>
          </w:p>
          <w:p w14:paraId="349688FA" w14:textId="77777777" w:rsidR="004571B9" w:rsidRPr="00A20995" w:rsidRDefault="001C203A" w:rsidP="004571B9">
            <w:pPr>
              <w:rPr>
                <w:rFonts w:ascii="Arial" w:hAnsi="Arial" w:cs="Arial"/>
                <w:sz w:val="22"/>
                <w:szCs w:val="22"/>
              </w:rPr>
            </w:pPr>
            <w:r w:rsidRPr="00A20995">
              <w:rPr>
                <w:rFonts w:ascii="Arial" w:hAnsi="Arial" w:cs="Arial"/>
                <w:sz w:val="22"/>
                <w:szCs w:val="22"/>
              </w:rPr>
              <w:t>Officers to initiate any required action</w:t>
            </w:r>
            <w:r w:rsidR="00B034C3" w:rsidRPr="00A20995">
              <w:rPr>
                <w:rFonts w:ascii="Arial" w:hAnsi="Arial" w:cs="Arial"/>
                <w:sz w:val="22"/>
                <w:szCs w:val="22"/>
              </w:rPr>
              <w:t>.</w:t>
            </w:r>
          </w:p>
          <w:p w14:paraId="0E11AC00" w14:textId="77777777" w:rsidR="004571B9" w:rsidRPr="00A20995" w:rsidRDefault="004571B9" w:rsidP="004571B9">
            <w:pPr>
              <w:rPr>
                <w:rFonts w:ascii="Arial" w:hAnsi="Arial" w:cs="Arial"/>
                <w:b/>
                <w:sz w:val="22"/>
                <w:szCs w:val="22"/>
              </w:rPr>
            </w:pPr>
          </w:p>
        </w:tc>
      </w:tr>
    </w:tbl>
    <w:p w14:paraId="3DAE670B" w14:textId="77777777" w:rsidR="004571B9" w:rsidRPr="00520A28" w:rsidRDefault="004571B9" w:rsidP="004571B9">
      <w:pPr>
        <w:rPr>
          <w:rFonts w:ascii="Arial" w:hAnsi="Arial" w:cs="Arial"/>
        </w:rPr>
      </w:pPr>
    </w:p>
    <w:p w14:paraId="66B3ECA2" w14:textId="77777777" w:rsidR="004571B9" w:rsidRPr="00520A28" w:rsidRDefault="004571B9" w:rsidP="004571B9">
      <w:pPr>
        <w:rPr>
          <w:rFonts w:ascii="Arial" w:hAnsi="Arial" w:cs="Arial"/>
        </w:rPr>
      </w:pPr>
    </w:p>
    <w:p w14:paraId="1F89E250" w14:textId="77777777" w:rsidR="004571B9" w:rsidRDefault="004571B9" w:rsidP="004571B9">
      <w:pPr>
        <w:rPr>
          <w:rFonts w:ascii="Arial" w:hAnsi="Arial" w:cs="Arial"/>
        </w:rPr>
      </w:pPr>
    </w:p>
    <w:p w14:paraId="4CB186A5" w14:textId="77777777" w:rsidR="006F500E" w:rsidRPr="00520A28" w:rsidRDefault="006F500E" w:rsidP="004571B9">
      <w:pPr>
        <w:rPr>
          <w:rFonts w:ascii="Arial" w:hAnsi="Arial" w:cs="Arial"/>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520A28" w14:paraId="06A2B11E" w14:textId="77777777" w:rsidTr="001C203A">
        <w:tc>
          <w:tcPr>
            <w:tcW w:w="2635" w:type="dxa"/>
          </w:tcPr>
          <w:p w14:paraId="51875244" w14:textId="77777777" w:rsidR="001C203A" w:rsidRPr="00A20995" w:rsidRDefault="001C203A" w:rsidP="004571B9">
            <w:pPr>
              <w:spacing w:before="120"/>
              <w:rPr>
                <w:rFonts w:ascii="Arial" w:hAnsi="Arial" w:cs="Arial"/>
                <w:sz w:val="22"/>
                <w:szCs w:val="22"/>
              </w:rPr>
            </w:pPr>
            <w:r w:rsidRPr="00A20995">
              <w:rPr>
                <w:rFonts w:ascii="Arial" w:hAnsi="Arial" w:cs="Arial"/>
                <w:b/>
                <w:sz w:val="22"/>
                <w:szCs w:val="22"/>
              </w:rPr>
              <w:t>Contact officer:</w:t>
            </w:r>
            <w:r w:rsidRPr="00A20995">
              <w:rPr>
                <w:rFonts w:ascii="Arial" w:hAnsi="Arial" w:cs="Arial"/>
                <w:sz w:val="22"/>
                <w:szCs w:val="22"/>
              </w:rPr>
              <w:t xml:space="preserve"> </w:t>
            </w:r>
          </w:p>
        </w:tc>
        <w:tc>
          <w:tcPr>
            <w:tcW w:w="3569" w:type="dxa"/>
          </w:tcPr>
          <w:p w14:paraId="4F6BCAE0" w14:textId="77777777" w:rsidR="001C203A" w:rsidRPr="00A20995" w:rsidRDefault="004E0590" w:rsidP="004E0590">
            <w:pPr>
              <w:spacing w:before="120"/>
              <w:rPr>
                <w:rFonts w:ascii="Arial" w:hAnsi="Arial" w:cs="Arial"/>
                <w:sz w:val="22"/>
                <w:szCs w:val="22"/>
              </w:rPr>
            </w:pPr>
            <w:r w:rsidRPr="00A20995">
              <w:rPr>
                <w:rFonts w:ascii="Arial" w:hAnsi="Arial" w:cs="Arial"/>
                <w:sz w:val="22"/>
                <w:szCs w:val="22"/>
              </w:rPr>
              <w:t>Dennis Skinner</w:t>
            </w:r>
          </w:p>
        </w:tc>
        <w:tc>
          <w:tcPr>
            <w:tcW w:w="2976" w:type="dxa"/>
          </w:tcPr>
          <w:p w14:paraId="7552DAD9" w14:textId="77777777" w:rsidR="001C203A" w:rsidRPr="00520A28" w:rsidRDefault="001C203A" w:rsidP="004571B9">
            <w:pPr>
              <w:spacing w:before="120"/>
              <w:rPr>
                <w:rFonts w:ascii="Arial" w:hAnsi="Arial" w:cs="Arial"/>
              </w:rPr>
            </w:pPr>
          </w:p>
        </w:tc>
      </w:tr>
      <w:tr w:rsidR="001C203A" w:rsidRPr="00520A28" w14:paraId="34CDE5E5" w14:textId="77777777" w:rsidTr="001C203A">
        <w:tc>
          <w:tcPr>
            <w:tcW w:w="2635" w:type="dxa"/>
          </w:tcPr>
          <w:p w14:paraId="2A719029" w14:textId="77777777" w:rsidR="001C203A" w:rsidRPr="00A20995" w:rsidRDefault="001C203A" w:rsidP="004571B9">
            <w:pPr>
              <w:spacing w:before="120"/>
              <w:rPr>
                <w:rFonts w:ascii="Arial" w:hAnsi="Arial" w:cs="Arial"/>
                <w:b/>
                <w:sz w:val="22"/>
                <w:szCs w:val="22"/>
              </w:rPr>
            </w:pPr>
            <w:r w:rsidRPr="00A20995">
              <w:rPr>
                <w:rFonts w:ascii="Arial" w:hAnsi="Arial" w:cs="Arial"/>
                <w:b/>
                <w:sz w:val="22"/>
                <w:szCs w:val="22"/>
              </w:rPr>
              <w:t>Position:</w:t>
            </w:r>
          </w:p>
        </w:tc>
        <w:tc>
          <w:tcPr>
            <w:tcW w:w="3569" w:type="dxa"/>
          </w:tcPr>
          <w:p w14:paraId="61B43A93" w14:textId="77777777" w:rsidR="001C203A" w:rsidRPr="00A20995" w:rsidRDefault="001C203A" w:rsidP="004E0590">
            <w:pPr>
              <w:spacing w:before="120"/>
              <w:rPr>
                <w:rFonts w:ascii="Arial" w:hAnsi="Arial" w:cs="Arial"/>
                <w:sz w:val="22"/>
                <w:szCs w:val="22"/>
              </w:rPr>
            </w:pPr>
            <w:r w:rsidRPr="00A20995">
              <w:rPr>
                <w:rFonts w:ascii="Arial" w:hAnsi="Arial" w:cs="Arial"/>
                <w:sz w:val="22"/>
                <w:szCs w:val="22"/>
              </w:rPr>
              <w:t xml:space="preserve">Head of </w:t>
            </w:r>
            <w:r w:rsidR="004E0590" w:rsidRPr="00A20995">
              <w:rPr>
                <w:rFonts w:ascii="Arial" w:hAnsi="Arial" w:cs="Arial"/>
                <w:sz w:val="22"/>
                <w:szCs w:val="22"/>
              </w:rPr>
              <w:t>Improvement</w:t>
            </w:r>
          </w:p>
        </w:tc>
        <w:tc>
          <w:tcPr>
            <w:tcW w:w="2976" w:type="dxa"/>
          </w:tcPr>
          <w:p w14:paraId="5A3816C2" w14:textId="77777777" w:rsidR="001C203A" w:rsidRPr="00520A28" w:rsidRDefault="001C203A" w:rsidP="004571B9">
            <w:pPr>
              <w:spacing w:before="120"/>
              <w:rPr>
                <w:rFonts w:ascii="Arial" w:hAnsi="Arial" w:cs="Arial"/>
              </w:rPr>
            </w:pPr>
          </w:p>
        </w:tc>
      </w:tr>
      <w:tr w:rsidR="001C203A" w:rsidRPr="00520A28" w14:paraId="19458F0F" w14:textId="77777777" w:rsidTr="001C203A">
        <w:tc>
          <w:tcPr>
            <w:tcW w:w="2635" w:type="dxa"/>
          </w:tcPr>
          <w:p w14:paraId="59F95EBA" w14:textId="77777777" w:rsidR="001C203A" w:rsidRPr="00A20995" w:rsidRDefault="001C203A" w:rsidP="004571B9">
            <w:pPr>
              <w:spacing w:before="120"/>
              <w:rPr>
                <w:rFonts w:ascii="Arial" w:hAnsi="Arial" w:cs="Arial"/>
                <w:b/>
                <w:sz w:val="22"/>
                <w:szCs w:val="22"/>
              </w:rPr>
            </w:pPr>
            <w:r w:rsidRPr="00A20995">
              <w:rPr>
                <w:rFonts w:ascii="Arial" w:hAnsi="Arial" w:cs="Arial"/>
                <w:b/>
                <w:sz w:val="22"/>
                <w:szCs w:val="22"/>
              </w:rPr>
              <w:t>Phone no:</w:t>
            </w:r>
          </w:p>
        </w:tc>
        <w:tc>
          <w:tcPr>
            <w:tcW w:w="3569" w:type="dxa"/>
          </w:tcPr>
          <w:p w14:paraId="4EB3EBEC" w14:textId="77777777" w:rsidR="001C203A" w:rsidRPr="00A20995" w:rsidRDefault="001C203A" w:rsidP="004E0590">
            <w:pPr>
              <w:spacing w:before="120"/>
              <w:rPr>
                <w:rFonts w:ascii="Arial" w:hAnsi="Arial" w:cs="Arial"/>
                <w:sz w:val="22"/>
                <w:szCs w:val="22"/>
              </w:rPr>
            </w:pPr>
            <w:r w:rsidRPr="00A20995">
              <w:rPr>
                <w:rFonts w:ascii="Arial" w:hAnsi="Arial" w:cs="Arial"/>
                <w:sz w:val="22"/>
                <w:szCs w:val="22"/>
              </w:rPr>
              <w:t>020 7664 3</w:t>
            </w:r>
            <w:r w:rsidR="004E0590" w:rsidRPr="00A20995">
              <w:rPr>
                <w:rFonts w:ascii="Arial" w:hAnsi="Arial" w:cs="Arial"/>
                <w:sz w:val="22"/>
                <w:szCs w:val="22"/>
              </w:rPr>
              <w:t>017</w:t>
            </w:r>
          </w:p>
        </w:tc>
        <w:tc>
          <w:tcPr>
            <w:tcW w:w="2976" w:type="dxa"/>
          </w:tcPr>
          <w:p w14:paraId="676E9B38" w14:textId="77777777" w:rsidR="001C203A" w:rsidRPr="00520A28" w:rsidRDefault="001C203A" w:rsidP="004571B9">
            <w:pPr>
              <w:spacing w:before="120"/>
              <w:rPr>
                <w:rFonts w:ascii="Arial" w:hAnsi="Arial" w:cs="Arial"/>
              </w:rPr>
            </w:pPr>
          </w:p>
        </w:tc>
      </w:tr>
      <w:tr w:rsidR="001C203A" w:rsidRPr="00520A28" w14:paraId="4D5CB62D" w14:textId="77777777" w:rsidTr="001C203A">
        <w:trPr>
          <w:trHeight w:val="507"/>
        </w:trPr>
        <w:tc>
          <w:tcPr>
            <w:tcW w:w="2635" w:type="dxa"/>
          </w:tcPr>
          <w:p w14:paraId="1C8DF284" w14:textId="77777777" w:rsidR="001C203A" w:rsidRPr="00A20995" w:rsidRDefault="001C203A" w:rsidP="004571B9">
            <w:pPr>
              <w:spacing w:before="120"/>
              <w:rPr>
                <w:rFonts w:ascii="Arial" w:hAnsi="Arial" w:cs="Arial"/>
                <w:b/>
                <w:sz w:val="22"/>
                <w:szCs w:val="22"/>
              </w:rPr>
            </w:pPr>
            <w:r w:rsidRPr="00A20995">
              <w:rPr>
                <w:rFonts w:ascii="Arial" w:hAnsi="Arial" w:cs="Arial"/>
                <w:b/>
                <w:sz w:val="22"/>
                <w:szCs w:val="22"/>
              </w:rPr>
              <w:t>Email:</w:t>
            </w:r>
          </w:p>
        </w:tc>
        <w:tc>
          <w:tcPr>
            <w:tcW w:w="3569" w:type="dxa"/>
          </w:tcPr>
          <w:p w14:paraId="0C9D710C" w14:textId="77777777" w:rsidR="001C203A" w:rsidRPr="00A20995" w:rsidRDefault="00464B1E" w:rsidP="004571B9">
            <w:pPr>
              <w:spacing w:before="120"/>
              <w:rPr>
                <w:rFonts w:ascii="Arial" w:hAnsi="Arial" w:cs="Arial"/>
                <w:sz w:val="22"/>
                <w:szCs w:val="22"/>
              </w:rPr>
            </w:pPr>
            <w:hyperlink r:id="rId11" w:history="1">
              <w:r w:rsidR="004E0590" w:rsidRPr="00A20995">
                <w:rPr>
                  <w:rStyle w:val="Hyperlink"/>
                  <w:rFonts w:ascii="Arial" w:hAnsi="Arial" w:cs="Arial"/>
                  <w:sz w:val="22"/>
                  <w:szCs w:val="22"/>
                </w:rPr>
                <w:t>dennis.skinner@local.gov.uk</w:t>
              </w:r>
            </w:hyperlink>
          </w:p>
          <w:p w14:paraId="0F068A97" w14:textId="77777777" w:rsidR="001C203A" w:rsidRPr="00A20995" w:rsidRDefault="001C203A" w:rsidP="004571B9">
            <w:pPr>
              <w:spacing w:before="120"/>
              <w:rPr>
                <w:rFonts w:ascii="Arial" w:hAnsi="Arial" w:cs="Arial"/>
                <w:sz w:val="22"/>
                <w:szCs w:val="22"/>
              </w:rPr>
            </w:pPr>
          </w:p>
        </w:tc>
        <w:tc>
          <w:tcPr>
            <w:tcW w:w="2976" w:type="dxa"/>
          </w:tcPr>
          <w:p w14:paraId="08FF834C" w14:textId="77777777" w:rsidR="001C203A" w:rsidRPr="00520A28" w:rsidRDefault="001C203A" w:rsidP="004571B9">
            <w:pPr>
              <w:spacing w:before="120"/>
              <w:rPr>
                <w:rFonts w:ascii="Arial" w:hAnsi="Arial" w:cs="Arial"/>
              </w:rPr>
            </w:pPr>
          </w:p>
        </w:tc>
      </w:tr>
    </w:tbl>
    <w:p w14:paraId="78C5C5B2" w14:textId="77777777" w:rsidR="004571B9" w:rsidRPr="00520A28" w:rsidRDefault="004571B9" w:rsidP="004571B9">
      <w:pPr>
        <w:rPr>
          <w:rFonts w:ascii="Arial" w:hAnsi="Arial" w:cs="Arial"/>
        </w:rPr>
      </w:pPr>
    </w:p>
    <w:p w14:paraId="563E2656" w14:textId="77777777" w:rsidR="006F500E" w:rsidRDefault="006F500E" w:rsidP="00DB12EF">
      <w:pPr>
        <w:spacing w:before="120" w:after="240" w:line="280" w:lineRule="exact"/>
        <w:rPr>
          <w:rFonts w:ascii="Arial" w:hAnsi="Arial" w:cs="Arial"/>
          <w:b/>
          <w:sz w:val="28"/>
          <w:szCs w:val="28"/>
        </w:rPr>
      </w:pPr>
    </w:p>
    <w:p w14:paraId="2951A801" w14:textId="77777777" w:rsidR="006F500E" w:rsidRDefault="006F500E" w:rsidP="00DB12EF">
      <w:pPr>
        <w:spacing w:before="120" w:after="240" w:line="280" w:lineRule="exact"/>
        <w:rPr>
          <w:rFonts w:ascii="Arial" w:hAnsi="Arial" w:cs="Arial"/>
          <w:b/>
          <w:sz w:val="28"/>
          <w:szCs w:val="28"/>
        </w:rPr>
      </w:pPr>
    </w:p>
    <w:p w14:paraId="3CA70462" w14:textId="77777777" w:rsidR="00DB5BD4" w:rsidRDefault="00DB5BD4" w:rsidP="00DB12EF">
      <w:pPr>
        <w:spacing w:before="120" w:after="240" w:line="280" w:lineRule="exact"/>
        <w:rPr>
          <w:rFonts w:ascii="Arial" w:hAnsi="Arial" w:cs="Arial"/>
          <w:b/>
          <w:sz w:val="28"/>
          <w:szCs w:val="28"/>
        </w:rPr>
      </w:pPr>
    </w:p>
    <w:p w14:paraId="33124908" w14:textId="77777777" w:rsidR="00A20995" w:rsidRDefault="00A20995" w:rsidP="00DB12EF">
      <w:pPr>
        <w:spacing w:before="120" w:after="240" w:line="280" w:lineRule="exact"/>
        <w:rPr>
          <w:rFonts w:ascii="Arial" w:hAnsi="Arial" w:cs="Arial"/>
          <w:b/>
          <w:sz w:val="28"/>
          <w:szCs w:val="28"/>
        </w:rPr>
      </w:pPr>
    </w:p>
    <w:p w14:paraId="03920E32" w14:textId="77777777" w:rsidR="00A20995" w:rsidRDefault="00A20995" w:rsidP="00A20995">
      <w:pPr>
        <w:spacing w:before="240" w:after="240" w:line="280" w:lineRule="exact"/>
        <w:rPr>
          <w:rFonts w:ascii="Arial" w:hAnsi="Arial" w:cs="Arial"/>
          <w:b/>
          <w:sz w:val="28"/>
          <w:szCs w:val="28"/>
        </w:rPr>
      </w:pPr>
      <w:r>
        <w:rPr>
          <w:rFonts w:ascii="Arial" w:hAnsi="Arial" w:cs="Arial"/>
          <w:b/>
          <w:sz w:val="28"/>
          <w:szCs w:val="28"/>
        </w:rPr>
        <w:lastRenderedPageBreak/>
        <w:t>Performance Report and Memorandum of Understanding for 18/19</w:t>
      </w:r>
    </w:p>
    <w:p w14:paraId="0E810A6E" w14:textId="77777777" w:rsidR="00944486" w:rsidRPr="00A20995" w:rsidRDefault="00944486" w:rsidP="00A20995">
      <w:pPr>
        <w:pStyle w:val="MainText"/>
        <w:spacing w:line="240" w:lineRule="auto"/>
        <w:rPr>
          <w:rFonts w:ascii="Arial" w:hAnsi="Arial" w:cs="Arial"/>
          <w:b/>
          <w:szCs w:val="22"/>
        </w:rPr>
      </w:pPr>
    </w:p>
    <w:p w14:paraId="0779C527" w14:textId="7265EA14" w:rsidR="00CB2DEB" w:rsidRPr="00A20995" w:rsidRDefault="00A20995" w:rsidP="000617DB">
      <w:pPr>
        <w:pStyle w:val="MainText"/>
        <w:spacing w:line="240" w:lineRule="auto"/>
        <w:rPr>
          <w:rFonts w:ascii="Arial" w:hAnsi="Arial" w:cs="Arial"/>
          <w:b/>
          <w:szCs w:val="22"/>
        </w:rPr>
      </w:pPr>
      <w:r>
        <w:rPr>
          <w:rFonts w:ascii="Arial" w:hAnsi="Arial" w:cs="Arial"/>
          <w:b/>
          <w:szCs w:val="22"/>
        </w:rPr>
        <w:t>Background</w:t>
      </w:r>
    </w:p>
    <w:p w14:paraId="658D1C91" w14:textId="77777777" w:rsidR="00B756D3" w:rsidRPr="00A20995" w:rsidRDefault="00B756D3" w:rsidP="00A20995">
      <w:pPr>
        <w:rPr>
          <w:rFonts w:ascii="Arial" w:hAnsi="Arial" w:cs="Arial"/>
          <w:sz w:val="22"/>
          <w:szCs w:val="22"/>
        </w:rPr>
      </w:pPr>
    </w:p>
    <w:p w14:paraId="718DD7BD" w14:textId="5463CFE3" w:rsidR="00C033AC" w:rsidRPr="000617DB" w:rsidRDefault="00592A53" w:rsidP="000617DB">
      <w:pPr>
        <w:pStyle w:val="ListParagraph"/>
        <w:numPr>
          <w:ilvl w:val="0"/>
          <w:numId w:val="22"/>
        </w:numPr>
        <w:rPr>
          <w:rFonts w:ascii="Arial" w:hAnsi="Arial" w:cs="Arial"/>
          <w:b/>
          <w:sz w:val="22"/>
          <w:szCs w:val="22"/>
        </w:rPr>
      </w:pPr>
      <w:r w:rsidRPr="000617DB">
        <w:rPr>
          <w:rFonts w:ascii="Arial" w:hAnsi="Arial" w:cs="Arial"/>
          <w:sz w:val="22"/>
          <w:szCs w:val="22"/>
        </w:rPr>
        <w:t>Thi</w:t>
      </w:r>
      <w:r w:rsidR="00CA5BBC" w:rsidRPr="000617DB">
        <w:rPr>
          <w:rFonts w:ascii="Arial" w:hAnsi="Arial" w:cs="Arial"/>
          <w:sz w:val="22"/>
          <w:szCs w:val="22"/>
        </w:rPr>
        <w:t xml:space="preserve">s report presents an update </w:t>
      </w:r>
      <w:r w:rsidRPr="000617DB">
        <w:rPr>
          <w:rFonts w:ascii="Arial" w:hAnsi="Arial" w:cs="Arial"/>
          <w:sz w:val="22"/>
          <w:szCs w:val="22"/>
        </w:rPr>
        <w:t>on performance against the key deliverables set out in the Mem</w:t>
      </w:r>
      <w:r w:rsidR="004E0590" w:rsidRPr="000617DB">
        <w:rPr>
          <w:rFonts w:ascii="Arial" w:hAnsi="Arial" w:cs="Arial"/>
          <w:sz w:val="22"/>
          <w:szCs w:val="22"/>
        </w:rPr>
        <w:t xml:space="preserve">orandum of Understanding </w:t>
      </w:r>
      <w:r w:rsidR="00D8529F" w:rsidRPr="000617DB">
        <w:rPr>
          <w:rFonts w:ascii="Arial" w:hAnsi="Arial" w:cs="Arial"/>
          <w:sz w:val="22"/>
          <w:szCs w:val="22"/>
        </w:rPr>
        <w:t>(Mo</w:t>
      </w:r>
      <w:r w:rsidR="005B1CA8" w:rsidRPr="000617DB">
        <w:rPr>
          <w:rFonts w:ascii="Arial" w:hAnsi="Arial" w:cs="Arial"/>
          <w:sz w:val="22"/>
          <w:szCs w:val="22"/>
        </w:rPr>
        <w:t xml:space="preserve">U) </w:t>
      </w:r>
      <w:r w:rsidR="004E0590" w:rsidRPr="000617DB">
        <w:rPr>
          <w:rFonts w:ascii="Arial" w:hAnsi="Arial" w:cs="Arial"/>
          <w:sz w:val="22"/>
          <w:szCs w:val="22"/>
        </w:rPr>
        <w:t xml:space="preserve">that </w:t>
      </w:r>
      <w:r w:rsidRPr="000617DB">
        <w:rPr>
          <w:rFonts w:ascii="Arial" w:hAnsi="Arial" w:cs="Arial"/>
          <w:sz w:val="22"/>
          <w:szCs w:val="22"/>
        </w:rPr>
        <w:t xml:space="preserve">is in </w:t>
      </w:r>
      <w:r w:rsidR="00767224" w:rsidRPr="000617DB">
        <w:rPr>
          <w:rFonts w:ascii="Arial" w:hAnsi="Arial" w:cs="Arial"/>
          <w:sz w:val="22"/>
          <w:szCs w:val="22"/>
        </w:rPr>
        <w:t>place</w:t>
      </w:r>
      <w:r w:rsidR="002C2419" w:rsidRPr="000617DB">
        <w:rPr>
          <w:rFonts w:ascii="Arial" w:hAnsi="Arial" w:cs="Arial"/>
          <w:sz w:val="22"/>
          <w:szCs w:val="22"/>
        </w:rPr>
        <w:t xml:space="preserve"> between the LGA and MH</w:t>
      </w:r>
      <w:r w:rsidR="00767224" w:rsidRPr="000617DB">
        <w:rPr>
          <w:rFonts w:ascii="Arial" w:hAnsi="Arial" w:cs="Arial"/>
          <w:sz w:val="22"/>
          <w:szCs w:val="22"/>
        </w:rPr>
        <w:t xml:space="preserve">CLG about use of the </w:t>
      </w:r>
      <w:r w:rsidR="0090636C" w:rsidRPr="000617DB">
        <w:rPr>
          <w:rFonts w:ascii="Arial" w:hAnsi="Arial" w:cs="Arial"/>
          <w:sz w:val="22"/>
          <w:szCs w:val="22"/>
        </w:rPr>
        <w:t>grant</w:t>
      </w:r>
      <w:r w:rsidRPr="000617DB">
        <w:rPr>
          <w:rFonts w:ascii="Arial" w:hAnsi="Arial" w:cs="Arial"/>
          <w:sz w:val="22"/>
          <w:szCs w:val="22"/>
        </w:rPr>
        <w:t xml:space="preserve"> allocated for 201</w:t>
      </w:r>
      <w:r w:rsidR="0090636C" w:rsidRPr="000617DB">
        <w:rPr>
          <w:rFonts w:ascii="Arial" w:hAnsi="Arial" w:cs="Arial"/>
          <w:sz w:val="22"/>
          <w:szCs w:val="22"/>
        </w:rPr>
        <w:t>6</w:t>
      </w:r>
      <w:r w:rsidRPr="000617DB">
        <w:rPr>
          <w:rFonts w:ascii="Arial" w:hAnsi="Arial" w:cs="Arial"/>
          <w:sz w:val="22"/>
          <w:szCs w:val="22"/>
        </w:rPr>
        <w:t>/1</w:t>
      </w:r>
      <w:r w:rsidR="00DB5BD4" w:rsidRPr="000617DB">
        <w:rPr>
          <w:rFonts w:ascii="Arial" w:hAnsi="Arial" w:cs="Arial"/>
          <w:sz w:val="22"/>
          <w:szCs w:val="22"/>
        </w:rPr>
        <w:t>7.</w:t>
      </w:r>
    </w:p>
    <w:p w14:paraId="699A7188" w14:textId="77777777" w:rsidR="00CA5BBC" w:rsidRPr="00A20995" w:rsidRDefault="00CA5BBC" w:rsidP="00A20995">
      <w:pPr>
        <w:pStyle w:val="ListParagraph"/>
        <w:ind w:left="709"/>
        <w:rPr>
          <w:rFonts w:ascii="Arial" w:hAnsi="Arial" w:cs="Arial"/>
          <w:b/>
          <w:sz w:val="22"/>
          <w:szCs w:val="22"/>
        </w:rPr>
      </w:pPr>
    </w:p>
    <w:p w14:paraId="6502629E" w14:textId="2FA1C038" w:rsidR="00CA5BBC" w:rsidRPr="000617DB" w:rsidRDefault="00CA5BBC" w:rsidP="000617DB">
      <w:pPr>
        <w:pStyle w:val="ListParagraph"/>
        <w:numPr>
          <w:ilvl w:val="0"/>
          <w:numId w:val="22"/>
        </w:numPr>
        <w:rPr>
          <w:rFonts w:ascii="Arial" w:hAnsi="Arial" w:cs="Arial"/>
          <w:b/>
          <w:sz w:val="22"/>
          <w:szCs w:val="22"/>
        </w:rPr>
      </w:pPr>
      <w:r w:rsidRPr="000617DB">
        <w:rPr>
          <w:rFonts w:ascii="Arial" w:hAnsi="Arial" w:cs="Arial"/>
          <w:sz w:val="22"/>
          <w:szCs w:val="22"/>
        </w:rPr>
        <w:t>It also informs members ab</w:t>
      </w:r>
      <w:r w:rsidR="002C2419" w:rsidRPr="000617DB">
        <w:rPr>
          <w:rFonts w:ascii="Arial" w:hAnsi="Arial" w:cs="Arial"/>
          <w:sz w:val="22"/>
          <w:szCs w:val="22"/>
        </w:rPr>
        <w:t>out the MoU agreed covering 2018/19</w:t>
      </w:r>
      <w:r w:rsidRPr="000617DB">
        <w:rPr>
          <w:rFonts w:ascii="Arial" w:hAnsi="Arial" w:cs="Arial"/>
          <w:sz w:val="22"/>
          <w:szCs w:val="22"/>
        </w:rPr>
        <w:t>.</w:t>
      </w:r>
    </w:p>
    <w:p w14:paraId="278E3D0A" w14:textId="77777777" w:rsidR="000B09B6" w:rsidRPr="00A20995" w:rsidRDefault="0062652D" w:rsidP="00A20995">
      <w:pPr>
        <w:spacing w:after="200" w:line="276" w:lineRule="auto"/>
        <w:ind w:left="709" w:hanging="709"/>
        <w:contextualSpacing/>
        <w:rPr>
          <w:rFonts w:ascii="Arial" w:hAnsi="Arial" w:cs="Arial"/>
          <w:sz w:val="22"/>
          <w:szCs w:val="22"/>
        </w:rPr>
      </w:pPr>
      <w:r w:rsidRPr="00A20995">
        <w:rPr>
          <w:rFonts w:ascii="Arial" w:hAnsi="Arial" w:cs="Arial"/>
          <w:sz w:val="22"/>
          <w:szCs w:val="22"/>
        </w:rPr>
        <w:t xml:space="preserve"> </w:t>
      </w:r>
    </w:p>
    <w:p w14:paraId="16C862DB" w14:textId="66F21956" w:rsidR="00C033AC" w:rsidRPr="00A20995" w:rsidRDefault="00A20995" w:rsidP="00A20995">
      <w:pPr>
        <w:spacing w:after="200" w:line="276" w:lineRule="auto"/>
        <w:ind w:left="709" w:hanging="709"/>
        <w:contextualSpacing/>
        <w:rPr>
          <w:rFonts w:ascii="Arial" w:hAnsi="Arial" w:cs="Arial"/>
          <w:sz w:val="22"/>
          <w:szCs w:val="22"/>
        </w:rPr>
      </w:pPr>
      <w:r w:rsidRPr="000617DB">
        <w:rPr>
          <w:rFonts w:ascii="Arial" w:hAnsi="Arial" w:cs="Arial"/>
          <w:b/>
          <w:sz w:val="22"/>
          <w:szCs w:val="22"/>
        </w:rPr>
        <w:t>Performance Summary for</w:t>
      </w:r>
      <w:r w:rsidR="00C5302E" w:rsidRPr="00A20995">
        <w:rPr>
          <w:rFonts w:ascii="Arial" w:hAnsi="Arial" w:cs="Arial"/>
          <w:b/>
          <w:sz w:val="22"/>
          <w:szCs w:val="22"/>
        </w:rPr>
        <w:t xml:space="preserve"> 2017</w:t>
      </w:r>
      <w:r w:rsidR="00CA5BBC" w:rsidRPr="00A20995">
        <w:rPr>
          <w:rFonts w:ascii="Arial" w:hAnsi="Arial" w:cs="Arial"/>
          <w:b/>
          <w:sz w:val="22"/>
          <w:szCs w:val="22"/>
        </w:rPr>
        <w:t>/1</w:t>
      </w:r>
      <w:r w:rsidR="00C5302E" w:rsidRPr="00A20995">
        <w:rPr>
          <w:rFonts w:ascii="Arial" w:hAnsi="Arial" w:cs="Arial"/>
          <w:b/>
          <w:sz w:val="22"/>
          <w:szCs w:val="22"/>
        </w:rPr>
        <w:t>8</w:t>
      </w:r>
    </w:p>
    <w:p w14:paraId="19A2421D" w14:textId="70C2F1D9" w:rsidR="002C2419" w:rsidRPr="000617DB" w:rsidRDefault="002C2419" w:rsidP="000617DB">
      <w:pPr>
        <w:pStyle w:val="ListParagraph"/>
        <w:numPr>
          <w:ilvl w:val="0"/>
          <w:numId w:val="22"/>
        </w:numPr>
        <w:spacing w:after="200" w:line="276" w:lineRule="auto"/>
        <w:contextualSpacing/>
        <w:rPr>
          <w:rFonts w:ascii="Arial" w:hAnsi="Arial" w:cs="Arial"/>
          <w:sz w:val="22"/>
          <w:szCs w:val="22"/>
        </w:rPr>
      </w:pPr>
      <w:r w:rsidRPr="000617DB">
        <w:rPr>
          <w:rFonts w:ascii="Arial" w:hAnsi="Arial" w:cs="Arial"/>
          <w:sz w:val="22"/>
          <w:szCs w:val="22"/>
        </w:rPr>
        <w:t>The table below summarises the position on the deliverables contained in the MoU as at the end of the financial year.</w:t>
      </w:r>
    </w:p>
    <w:tbl>
      <w:tblPr>
        <w:tblStyle w:val="TableGrid"/>
        <w:tblW w:w="0" w:type="auto"/>
        <w:tblInd w:w="0" w:type="dxa"/>
        <w:tblLook w:val="04A0" w:firstRow="1" w:lastRow="0" w:firstColumn="1" w:lastColumn="0" w:noHBand="0" w:noVBand="1"/>
      </w:tblPr>
      <w:tblGrid>
        <w:gridCol w:w="1980"/>
        <w:gridCol w:w="1559"/>
        <w:gridCol w:w="1701"/>
        <w:gridCol w:w="1701"/>
        <w:gridCol w:w="1355"/>
      </w:tblGrid>
      <w:tr w:rsidR="002C2419" w:rsidRPr="00A20995" w14:paraId="20AF5275" w14:textId="77777777" w:rsidTr="00A20995">
        <w:tc>
          <w:tcPr>
            <w:tcW w:w="1980" w:type="dxa"/>
          </w:tcPr>
          <w:p w14:paraId="2592FFCF" w14:textId="77777777" w:rsidR="002C2419" w:rsidRPr="00A20995" w:rsidRDefault="002C2419" w:rsidP="002C2419">
            <w:pPr>
              <w:spacing w:after="200" w:line="276" w:lineRule="auto"/>
              <w:contextualSpacing/>
              <w:rPr>
                <w:rFonts w:ascii="Arial" w:hAnsi="Arial" w:cs="Arial"/>
                <w:sz w:val="22"/>
                <w:szCs w:val="22"/>
              </w:rPr>
            </w:pPr>
          </w:p>
        </w:tc>
        <w:tc>
          <w:tcPr>
            <w:tcW w:w="1559" w:type="dxa"/>
          </w:tcPr>
          <w:p w14:paraId="136C7528"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Total</w:t>
            </w:r>
          </w:p>
        </w:tc>
        <w:tc>
          <w:tcPr>
            <w:tcW w:w="1701" w:type="dxa"/>
          </w:tcPr>
          <w:p w14:paraId="42D72D0D"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Green</w:t>
            </w:r>
          </w:p>
        </w:tc>
        <w:tc>
          <w:tcPr>
            <w:tcW w:w="1701" w:type="dxa"/>
          </w:tcPr>
          <w:p w14:paraId="53E81FAE"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Amber</w:t>
            </w:r>
          </w:p>
        </w:tc>
        <w:tc>
          <w:tcPr>
            <w:tcW w:w="1355" w:type="dxa"/>
          </w:tcPr>
          <w:p w14:paraId="0B14312D"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Red</w:t>
            </w:r>
          </w:p>
        </w:tc>
      </w:tr>
      <w:tr w:rsidR="002C2419" w:rsidRPr="00A20995" w14:paraId="66F24C54" w14:textId="77777777" w:rsidTr="00A20995">
        <w:tc>
          <w:tcPr>
            <w:tcW w:w="1980" w:type="dxa"/>
          </w:tcPr>
          <w:p w14:paraId="00FB1472"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Deliverables</w:t>
            </w:r>
          </w:p>
        </w:tc>
        <w:tc>
          <w:tcPr>
            <w:tcW w:w="1559" w:type="dxa"/>
          </w:tcPr>
          <w:p w14:paraId="3B4C06E5"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60</w:t>
            </w:r>
          </w:p>
        </w:tc>
        <w:tc>
          <w:tcPr>
            <w:tcW w:w="1701" w:type="dxa"/>
          </w:tcPr>
          <w:p w14:paraId="6EB162D8"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56</w:t>
            </w:r>
          </w:p>
        </w:tc>
        <w:tc>
          <w:tcPr>
            <w:tcW w:w="1701" w:type="dxa"/>
          </w:tcPr>
          <w:p w14:paraId="2629F41A"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4</w:t>
            </w:r>
          </w:p>
        </w:tc>
        <w:tc>
          <w:tcPr>
            <w:tcW w:w="1355" w:type="dxa"/>
          </w:tcPr>
          <w:p w14:paraId="32865832" w14:textId="77777777" w:rsidR="002C2419" w:rsidRPr="00A20995" w:rsidRDefault="002C2419" w:rsidP="002C2419">
            <w:pPr>
              <w:spacing w:after="200" w:line="276" w:lineRule="auto"/>
              <w:contextualSpacing/>
              <w:rPr>
                <w:rFonts w:ascii="Arial" w:hAnsi="Arial" w:cs="Arial"/>
                <w:sz w:val="22"/>
                <w:szCs w:val="22"/>
              </w:rPr>
            </w:pPr>
            <w:r w:rsidRPr="00A20995">
              <w:rPr>
                <w:rFonts w:ascii="Arial" w:hAnsi="Arial" w:cs="Arial"/>
                <w:sz w:val="22"/>
                <w:szCs w:val="22"/>
              </w:rPr>
              <w:t>0</w:t>
            </w:r>
          </w:p>
        </w:tc>
      </w:tr>
    </w:tbl>
    <w:p w14:paraId="78672E5E" w14:textId="47EB1B15" w:rsidR="002C2419" w:rsidRPr="00A20995" w:rsidRDefault="002C2419" w:rsidP="00A20995">
      <w:pPr>
        <w:spacing w:after="200" w:line="276" w:lineRule="auto"/>
        <w:contextualSpacing/>
        <w:rPr>
          <w:rFonts w:ascii="Arial" w:hAnsi="Arial" w:cs="Arial"/>
          <w:sz w:val="22"/>
          <w:szCs w:val="22"/>
        </w:rPr>
      </w:pPr>
    </w:p>
    <w:p w14:paraId="296AD605" w14:textId="7F2F6226" w:rsidR="002C2419" w:rsidRDefault="002C2419" w:rsidP="000617DB">
      <w:pPr>
        <w:pStyle w:val="ListParagraph"/>
        <w:numPr>
          <w:ilvl w:val="0"/>
          <w:numId w:val="22"/>
        </w:numPr>
        <w:spacing w:after="200" w:line="276" w:lineRule="auto"/>
        <w:contextualSpacing/>
        <w:rPr>
          <w:rFonts w:ascii="Arial" w:hAnsi="Arial" w:cs="Arial"/>
          <w:sz w:val="22"/>
          <w:szCs w:val="22"/>
        </w:rPr>
      </w:pPr>
      <w:r w:rsidRPr="000617DB">
        <w:rPr>
          <w:rFonts w:ascii="Arial" w:hAnsi="Arial" w:cs="Arial"/>
          <w:sz w:val="22"/>
          <w:szCs w:val="22"/>
        </w:rPr>
        <w:t xml:space="preserve">Overall 56 out of the 60 key targets were achieved by the end of the year, leaving just 4 partially achieved.   The </w:t>
      </w:r>
      <w:r w:rsidRPr="000617DB">
        <w:rPr>
          <w:rFonts w:ascii="Arial" w:hAnsi="Arial" w:cs="Arial"/>
          <w:b/>
          <w:sz w:val="22"/>
          <w:szCs w:val="22"/>
        </w:rPr>
        <w:t xml:space="preserve">attached </w:t>
      </w:r>
      <w:r w:rsidRPr="000617DB">
        <w:rPr>
          <w:rFonts w:ascii="Arial" w:hAnsi="Arial" w:cs="Arial"/>
          <w:sz w:val="22"/>
          <w:szCs w:val="22"/>
        </w:rPr>
        <w:t>spreadsheet sets out information about each deliverable.</w:t>
      </w:r>
    </w:p>
    <w:p w14:paraId="0B4DDFCA" w14:textId="77777777" w:rsidR="007D5666" w:rsidRPr="000617DB" w:rsidRDefault="007D5666" w:rsidP="007D5666">
      <w:pPr>
        <w:pStyle w:val="ListParagraph"/>
        <w:spacing w:after="200" w:line="276" w:lineRule="auto"/>
        <w:ind w:left="360"/>
        <w:contextualSpacing/>
        <w:rPr>
          <w:rFonts w:ascii="Arial" w:hAnsi="Arial" w:cs="Arial"/>
          <w:sz w:val="22"/>
          <w:szCs w:val="22"/>
        </w:rPr>
      </w:pPr>
    </w:p>
    <w:p w14:paraId="7E2ECD6E" w14:textId="2DF9E428" w:rsidR="002C2419" w:rsidRPr="000617DB" w:rsidRDefault="0036064F" w:rsidP="000617DB">
      <w:pPr>
        <w:pStyle w:val="ListParagraph"/>
        <w:numPr>
          <w:ilvl w:val="0"/>
          <w:numId w:val="23"/>
        </w:numPr>
        <w:spacing w:after="200" w:line="276" w:lineRule="auto"/>
        <w:contextualSpacing/>
        <w:rPr>
          <w:rFonts w:ascii="Arial" w:hAnsi="Arial" w:cs="Arial"/>
          <w:sz w:val="22"/>
          <w:szCs w:val="22"/>
        </w:rPr>
      </w:pPr>
      <w:r w:rsidRPr="000617DB">
        <w:rPr>
          <w:rFonts w:ascii="Arial" w:hAnsi="Arial" w:cs="Arial"/>
          <w:sz w:val="22"/>
          <w:szCs w:val="22"/>
        </w:rPr>
        <w:t xml:space="preserve">Key highlights </w:t>
      </w:r>
      <w:r w:rsidR="002C2419" w:rsidRPr="000617DB">
        <w:rPr>
          <w:rFonts w:ascii="Arial" w:hAnsi="Arial" w:cs="Arial"/>
          <w:sz w:val="22"/>
          <w:szCs w:val="22"/>
        </w:rPr>
        <w:t>include:</w:t>
      </w:r>
    </w:p>
    <w:p w14:paraId="648BF384" w14:textId="4742272A" w:rsidR="002C2419"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almost 800 councillors attended our leadership courses.  A record number since the IDeA first started running leadership programmes at the turn of the century;</w:t>
      </w:r>
    </w:p>
    <w:p w14:paraId="6809F7C7" w14:textId="66B2A759" w:rsidR="002C2419"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115 peer challenges delivered which was slightly more than the target of 110.  64 of the challenges were corporate or finance peer challenges against a target of 70</w:t>
      </w:r>
      <w:r w:rsidR="00A20995">
        <w:rPr>
          <w:rFonts w:ascii="Arial" w:hAnsi="Arial" w:cs="Arial"/>
          <w:sz w:val="22"/>
          <w:szCs w:val="22"/>
        </w:rPr>
        <w:t>;</w:t>
      </w:r>
    </w:p>
    <w:p w14:paraId="61736B8D" w14:textId="6C70055F" w:rsidR="002C2419"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tailored peer support through the use of member or officer peers provided for a total of 77 councils;</w:t>
      </w:r>
    </w:p>
    <w:p w14:paraId="419D4B3A" w14:textId="6ECAF2D9" w:rsidR="002C2419"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provided support to 41 councils as part of the new housing experts programme</w:t>
      </w:r>
      <w:r w:rsidR="00A20995">
        <w:rPr>
          <w:rFonts w:ascii="Arial" w:hAnsi="Arial" w:cs="Arial"/>
          <w:sz w:val="22"/>
          <w:szCs w:val="22"/>
        </w:rPr>
        <w:t>;</w:t>
      </w:r>
    </w:p>
    <w:p w14:paraId="34BB4C96" w14:textId="7AD34FC9" w:rsidR="00A20995"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productivity experts deployed in 25 councils, helping them to save almost £40</w:t>
      </w:r>
      <w:r w:rsidR="00A20995">
        <w:rPr>
          <w:rFonts w:ascii="Arial" w:hAnsi="Arial" w:cs="Arial"/>
          <w:sz w:val="22"/>
          <w:szCs w:val="22"/>
        </w:rPr>
        <w:t xml:space="preserve"> </w:t>
      </w:r>
      <w:r w:rsidRPr="000617DB">
        <w:rPr>
          <w:rFonts w:ascii="Arial" w:hAnsi="Arial" w:cs="Arial"/>
          <w:sz w:val="22"/>
          <w:szCs w:val="22"/>
        </w:rPr>
        <w:t>m</w:t>
      </w:r>
      <w:r w:rsidR="00A20995">
        <w:rPr>
          <w:rFonts w:ascii="Arial" w:hAnsi="Arial" w:cs="Arial"/>
          <w:sz w:val="22"/>
          <w:szCs w:val="22"/>
        </w:rPr>
        <w:t>illion</w:t>
      </w:r>
      <w:r w:rsidRPr="000617DB">
        <w:rPr>
          <w:rFonts w:ascii="Arial" w:hAnsi="Arial" w:cs="Arial"/>
          <w:sz w:val="22"/>
          <w:szCs w:val="22"/>
        </w:rPr>
        <w:t>;</w:t>
      </w:r>
    </w:p>
    <w:p w14:paraId="15E2F4E0" w14:textId="17A8D406" w:rsidR="00A20995"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re-launched the shared services map which identifies efficiency savings in excess of £640</w:t>
      </w:r>
      <w:r w:rsidR="00A20995">
        <w:rPr>
          <w:rFonts w:ascii="Arial" w:hAnsi="Arial" w:cs="Arial"/>
          <w:sz w:val="22"/>
          <w:szCs w:val="22"/>
        </w:rPr>
        <w:t xml:space="preserve"> </w:t>
      </w:r>
      <w:r w:rsidRPr="000617DB">
        <w:rPr>
          <w:rFonts w:ascii="Arial" w:hAnsi="Arial" w:cs="Arial"/>
          <w:sz w:val="22"/>
          <w:szCs w:val="22"/>
        </w:rPr>
        <w:t>m</w:t>
      </w:r>
      <w:r w:rsidR="00A20995">
        <w:rPr>
          <w:rFonts w:ascii="Arial" w:hAnsi="Arial" w:cs="Arial"/>
          <w:sz w:val="22"/>
          <w:szCs w:val="22"/>
        </w:rPr>
        <w:t>illion</w:t>
      </w:r>
      <w:r w:rsidRPr="000617DB">
        <w:rPr>
          <w:rFonts w:ascii="Arial" w:hAnsi="Arial" w:cs="Arial"/>
          <w:sz w:val="22"/>
          <w:szCs w:val="22"/>
        </w:rPr>
        <w:t>;</w:t>
      </w:r>
    </w:p>
    <w:p w14:paraId="61B6F30D" w14:textId="42DAA35A" w:rsidR="00A20995"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 xml:space="preserve">LG Inform received its 1 millionth hit; </w:t>
      </w:r>
    </w:p>
    <w:p w14:paraId="44D7FBA8" w14:textId="77777777" w:rsidR="002C2419"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 xml:space="preserve">provided support to 40 councils to improve the way they engage and communicate with their communities; </w:t>
      </w:r>
    </w:p>
    <w:p w14:paraId="2CDE46F5" w14:textId="28D73960" w:rsidR="002C2419" w:rsidRPr="000617DB" w:rsidRDefault="002C2419" w:rsidP="000617DB">
      <w:pPr>
        <w:pStyle w:val="ListParagraph"/>
        <w:numPr>
          <w:ilvl w:val="1"/>
          <w:numId w:val="23"/>
        </w:numPr>
        <w:spacing w:after="200" w:line="276" w:lineRule="auto"/>
        <w:contextualSpacing/>
        <w:rPr>
          <w:rFonts w:ascii="Arial" w:hAnsi="Arial" w:cs="Arial"/>
          <w:sz w:val="22"/>
          <w:szCs w:val="22"/>
        </w:rPr>
      </w:pPr>
      <w:r w:rsidRPr="000617DB">
        <w:rPr>
          <w:rFonts w:ascii="Arial" w:hAnsi="Arial" w:cs="Arial"/>
          <w:sz w:val="22"/>
          <w:szCs w:val="22"/>
        </w:rPr>
        <w:t>supported over 30 councils with help to get more of their services online, provided over 100 officers with access to free training on Digital Academy courses;</w:t>
      </w:r>
    </w:p>
    <w:p w14:paraId="6654E032" w14:textId="006F4B19"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lastRenderedPageBreak/>
        <w:t>held a very successful Innovation Zone at the LGA conference</w:t>
      </w:r>
      <w:r w:rsidR="00A20995">
        <w:rPr>
          <w:rFonts w:ascii="Arial" w:hAnsi="Arial" w:cs="Arial"/>
          <w:sz w:val="22"/>
          <w:szCs w:val="22"/>
        </w:rPr>
        <w:t>;</w:t>
      </w:r>
    </w:p>
    <w:p w14:paraId="6129CB08" w14:textId="58B97DE0"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t xml:space="preserve">launched a series of new officer development programmes in conjunction with SOLACE which included 23 chief executives on a new programme </w:t>
      </w:r>
      <w:r w:rsidR="00A20995">
        <w:rPr>
          <w:rFonts w:ascii="Arial" w:hAnsi="Arial" w:cs="Arial"/>
          <w:sz w:val="22"/>
          <w:szCs w:val="22"/>
        </w:rPr>
        <w:t>–</w:t>
      </w:r>
      <w:r w:rsidRPr="00A20995">
        <w:rPr>
          <w:rFonts w:ascii="Arial" w:hAnsi="Arial" w:cs="Arial"/>
          <w:sz w:val="22"/>
          <w:szCs w:val="22"/>
        </w:rPr>
        <w:t xml:space="preserve"> IGNITE</w:t>
      </w:r>
      <w:r w:rsidR="00A20995">
        <w:rPr>
          <w:rFonts w:ascii="Arial" w:hAnsi="Arial" w:cs="Arial"/>
          <w:sz w:val="22"/>
          <w:szCs w:val="22"/>
        </w:rPr>
        <w:t>;</w:t>
      </w:r>
    </w:p>
    <w:p w14:paraId="1B5EEF30" w14:textId="645E504A"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t>supported 10 councils with a managing demand programme</w:t>
      </w:r>
      <w:r w:rsidR="00A20995">
        <w:rPr>
          <w:rFonts w:ascii="Arial" w:hAnsi="Arial" w:cs="Arial"/>
          <w:sz w:val="22"/>
          <w:szCs w:val="22"/>
        </w:rPr>
        <w:t>;</w:t>
      </w:r>
    </w:p>
    <w:p w14:paraId="240AD2E4" w14:textId="1BC80B18"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t>provided financial advice to 40 councils through our Finance Advisers and other means</w:t>
      </w:r>
      <w:r w:rsidR="00A20995">
        <w:rPr>
          <w:rFonts w:ascii="Arial" w:hAnsi="Arial" w:cs="Arial"/>
          <w:sz w:val="22"/>
          <w:szCs w:val="22"/>
        </w:rPr>
        <w:t>;</w:t>
      </w:r>
    </w:p>
    <w:p w14:paraId="4E492F1F" w14:textId="5F1ECD78"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t xml:space="preserve">placed 130 graduates as part of cohort 19 of the </w:t>
      </w:r>
      <w:r w:rsidR="00A20995">
        <w:rPr>
          <w:rFonts w:ascii="Arial" w:hAnsi="Arial" w:cs="Arial"/>
          <w:sz w:val="22"/>
          <w:szCs w:val="22"/>
        </w:rPr>
        <w:t>NGDP;</w:t>
      </w:r>
    </w:p>
    <w:p w14:paraId="68A19E3D" w14:textId="0C68670B"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t>run a very successful apprenticeship campaign including supporting 18 network events and 7 roadshows</w:t>
      </w:r>
      <w:r w:rsidR="00A20995">
        <w:rPr>
          <w:rFonts w:ascii="Arial" w:hAnsi="Arial" w:cs="Arial"/>
          <w:sz w:val="22"/>
          <w:szCs w:val="22"/>
        </w:rPr>
        <w:t>; and</w:t>
      </w:r>
    </w:p>
    <w:p w14:paraId="1B406C2B" w14:textId="77777777" w:rsidR="002C2419" w:rsidRPr="00A20995" w:rsidRDefault="002C2419" w:rsidP="000617DB">
      <w:pPr>
        <w:numPr>
          <w:ilvl w:val="1"/>
          <w:numId w:val="23"/>
        </w:numPr>
        <w:spacing w:after="200" w:line="276" w:lineRule="auto"/>
        <w:contextualSpacing/>
        <w:rPr>
          <w:rFonts w:ascii="Arial" w:hAnsi="Arial" w:cs="Arial"/>
          <w:sz w:val="22"/>
          <w:szCs w:val="22"/>
        </w:rPr>
      </w:pPr>
      <w:r w:rsidRPr="00A20995">
        <w:rPr>
          <w:rFonts w:ascii="Arial" w:hAnsi="Arial" w:cs="Arial"/>
          <w:sz w:val="22"/>
          <w:szCs w:val="22"/>
        </w:rPr>
        <w:t>supported 89 councils to help them prepare for the workforce opportunities and challenges arising from their transformation activities.</w:t>
      </w:r>
    </w:p>
    <w:p w14:paraId="6314C01A" w14:textId="6AFD8CE5" w:rsidR="00A20995" w:rsidRPr="000617DB" w:rsidRDefault="00C5302E" w:rsidP="000617DB">
      <w:pPr>
        <w:pStyle w:val="ListParagraph"/>
        <w:numPr>
          <w:ilvl w:val="0"/>
          <w:numId w:val="23"/>
        </w:numPr>
        <w:rPr>
          <w:rFonts w:ascii="Arial" w:hAnsi="Arial" w:cs="Arial"/>
          <w:sz w:val="22"/>
          <w:szCs w:val="22"/>
        </w:rPr>
      </w:pPr>
      <w:r w:rsidRPr="000617DB">
        <w:rPr>
          <w:rFonts w:ascii="Arial" w:hAnsi="Arial" w:cs="Arial"/>
          <w:sz w:val="22"/>
          <w:szCs w:val="22"/>
        </w:rPr>
        <w:t>An earlier report on the agenda sets out the results of the perception survey which dem</w:t>
      </w:r>
      <w:r w:rsidR="00C01721" w:rsidRPr="000617DB">
        <w:rPr>
          <w:rFonts w:ascii="Arial" w:hAnsi="Arial" w:cs="Arial"/>
          <w:sz w:val="22"/>
          <w:szCs w:val="22"/>
        </w:rPr>
        <w:t>o</w:t>
      </w:r>
      <w:r w:rsidRPr="000617DB">
        <w:rPr>
          <w:rFonts w:ascii="Arial" w:hAnsi="Arial" w:cs="Arial"/>
          <w:sz w:val="22"/>
          <w:szCs w:val="22"/>
        </w:rPr>
        <w:t xml:space="preserve">nstrates the programme overall is having a significant impact </w:t>
      </w:r>
      <w:r w:rsidR="00C01721" w:rsidRPr="000617DB">
        <w:rPr>
          <w:rFonts w:ascii="Arial" w:hAnsi="Arial" w:cs="Arial"/>
          <w:sz w:val="22"/>
          <w:szCs w:val="22"/>
        </w:rPr>
        <w:t>and continues to be relevant to councils’ needs.</w:t>
      </w:r>
    </w:p>
    <w:p w14:paraId="326DEE7A" w14:textId="77777777" w:rsidR="00C01721" w:rsidRPr="000617DB" w:rsidRDefault="00C01721" w:rsidP="000617DB">
      <w:pPr>
        <w:pStyle w:val="ListParagraph"/>
        <w:ind w:left="360"/>
        <w:rPr>
          <w:rFonts w:ascii="Arial" w:hAnsi="Arial" w:cs="Arial"/>
          <w:sz w:val="22"/>
          <w:szCs w:val="22"/>
        </w:rPr>
      </w:pPr>
    </w:p>
    <w:p w14:paraId="0D8C4E6D" w14:textId="51330A15" w:rsidR="00B115C3" w:rsidRPr="000617DB" w:rsidRDefault="00B115C3" w:rsidP="000617DB">
      <w:pPr>
        <w:pStyle w:val="ListParagraph"/>
        <w:numPr>
          <w:ilvl w:val="0"/>
          <w:numId w:val="23"/>
        </w:numPr>
        <w:spacing w:after="200" w:line="276" w:lineRule="auto"/>
        <w:contextualSpacing/>
        <w:rPr>
          <w:rFonts w:ascii="Arial" w:hAnsi="Arial" w:cs="Arial"/>
          <w:sz w:val="22"/>
          <w:szCs w:val="22"/>
        </w:rPr>
      </w:pPr>
      <w:r w:rsidRPr="000617DB">
        <w:rPr>
          <w:rFonts w:ascii="Arial" w:hAnsi="Arial" w:cs="Arial"/>
          <w:sz w:val="22"/>
          <w:szCs w:val="22"/>
        </w:rPr>
        <w:t>A comprehensive end of year report is being prepared and will be circulated to board members, councils and MHCLG in due course.</w:t>
      </w:r>
    </w:p>
    <w:p w14:paraId="553226F5" w14:textId="2E16B780" w:rsidR="002C2419" w:rsidRPr="00A20995" w:rsidRDefault="00A20995" w:rsidP="00A20995">
      <w:pPr>
        <w:spacing w:after="200" w:line="276" w:lineRule="auto"/>
        <w:contextualSpacing/>
        <w:rPr>
          <w:rFonts w:ascii="Arial" w:hAnsi="Arial" w:cs="Arial"/>
          <w:b/>
          <w:sz w:val="22"/>
          <w:szCs w:val="22"/>
        </w:rPr>
      </w:pPr>
      <w:r>
        <w:rPr>
          <w:rFonts w:ascii="Arial" w:hAnsi="Arial" w:cs="Arial"/>
          <w:b/>
          <w:sz w:val="22"/>
          <w:szCs w:val="22"/>
        </w:rPr>
        <w:t>Financial Performance</w:t>
      </w:r>
    </w:p>
    <w:p w14:paraId="481280CF" w14:textId="6A503E8E" w:rsidR="002C2419" w:rsidRPr="000617DB" w:rsidRDefault="002C2419" w:rsidP="000617DB">
      <w:pPr>
        <w:pStyle w:val="ListParagraph"/>
        <w:numPr>
          <w:ilvl w:val="0"/>
          <w:numId w:val="23"/>
        </w:numPr>
        <w:spacing w:after="200" w:line="276" w:lineRule="auto"/>
        <w:contextualSpacing/>
        <w:rPr>
          <w:rFonts w:ascii="Arial" w:hAnsi="Arial" w:cs="Arial"/>
          <w:sz w:val="22"/>
          <w:szCs w:val="22"/>
        </w:rPr>
      </w:pPr>
      <w:r w:rsidRPr="000617DB">
        <w:rPr>
          <w:rFonts w:ascii="Arial" w:hAnsi="Arial" w:cs="Arial"/>
          <w:sz w:val="22"/>
          <w:szCs w:val="22"/>
        </w:rPr>
        <w:t>The grant agreed for 2017/18 totalled £21</w:t>
      </w:r>
      <w:r w:rsidR="00087BA2">
        <w:rPr>
          <w:rFonts w:ascii="Arial" w:hAnsi="Arial" w:cs="Arial"/>
          <w:sz w:val="22"/>
          <w:szCs w:val="22"/>
        </w:rPr>
        <w:t xml:space="preserve"> </w:t>
      </w:r>
      <w:r w:rsidRPr="000617DB">
        <w:rPr>
          <w:rFonts w:ascii="Arial" w:hAnsi="Arial" w:cs="Arial"/>
          <w:sz w:val="22"/>
          <w:szCs w:val="22"/>
        </w:rPr>
        <w:t>m</w:t>
      </w:r>
      <w:r w:rsidR="00087BA2">
        <w:rPr>
          <w:rFonts w:ascii="Arial" w:hAnsi="Arial" w:cs="Arial"/>
          <w:sz w:val="22"/>
          <w:szCs w:val="22"/>
        </w:rPr>
        <w:t>illion</w:t>
      </w:r>
      <w:r w:rsidRPr="000617DB">
        <w:rPr>
          <w:rFonts w:ascii="Arial" w:hAnsi="Arial" w:cs="Arial"/>
          <w:sz w:val="22"/>
          <w:szCs w:val="22"/>
        </w:rPr>
        <w:t>.  The provisional outturn figures show spend at £20.986</w:t>
      </w:r>
      <w:r w:rsidR="00087BA2">
        <w:rPr>
          <w:rFonts w:ascii="Arial" w:hAnsi="Arial" w:cs="Arial"/>
          <w:sz w:val="22"/>
          <w:szCs w:val="22"/>
        </w:rPr>
        <w:t xml:space="preserve"> </w:t>
      </w:r>
      <w:r w:rsidRPr="000617DB">
        <w:rPr>
          <w:rFonts w:ascii="Arial" w:hAnsi="Arial" w:cs="Arial"/>
          <w:sz w:val="22"/>
          <w:szCs w:val="22"/>
        </w:rPr>
        <w:t>m</w:t>
      </w:r>
      <w:r w:rsidR="00087BA2">
        <w:rPr>
          <w:rFonts w:ascii="Arial" w:hAnsi="Arial" w:cs="Arial"/>
          <w:sz w:val="22"/>
          <w:szCs w:val="22"/>
        </w:rPr>
        <w:t>illion</w:t>
      </w:r>
      <w:r w:rsidRPr="000617DB">
        <w:rPr>
          <w:rFonts w:ascii="Arial" w:hAnsi="Arial" w:cs="Arial"/>
          <w:sz w:val="22"/>
          <w:szCs w:val="22"/>
        </w:rPr>
        <w:t>, an underspend of £14,000 or just 0.067</w:t>
      </w:r>
      <w:r w:rsidR="00087BA2">
        <w:rPr>
          <w:rFonts w:ascii="Arial" w:hAnsi="Arial" w:cs="Arial"/>
          <w:sz w:val="22"/>
          <w:szCs w:val="22"/>
        </w:rPr>
        <w:t xml:space="preserve"> per cent</w:t>
      </w:r>
      <w:r w:rsidR="00087BA2" w:rsidRPr="000617DB">
        <w:rPr>
          <w:rFonts w:ascii="Arial" w:hAnsi="Arial" w:cs="Arial"/>
          <w:sz w:val="22"/>
          <w:szCs w:val="22"/>
        </w:rPr>
        <w:t xml:space="preserve">. </w:t>
      </w:r>
    </w:p>
    <w:p w14:paraId="305C1E19" w14:textId="6C66FA5F" w:rsidR="00087BA2" w:rsidRPr="000617DB" w:rsidRDefault="00087BA2" w:rsidP="000617DB">
      <w:pPr>
        <w:spacing w:after="200" w:line="276" w:lineRule="auto"/>
        <w:contextualSpacing/>
        <w:rPr>
          <w:rFonts w:ascii="Arial" w:hAnsi="Arial" w:cs="Arial"/>
          <w:b/>
          <w:sz w:val="22"/>
          <w:szCs w:val="22"/>
        </w:rPr>
      </w:pPr>
      <w:r w:rsidRPr="000617DB">
        <w:rPr>
          <w:rFonts w:ascii="Arial" w:hAnsi="Arial" w:cs="Arial"/>
          <w:b/>
          <w:sz w:val="22"/>
          <w:szCs w:val="22"/>
        </w:rPr>
        <w:t>M</w:t>
      </w:r>
      <w:r>
        <w:rPr>
          <w:rFonts w:ascii="Arial" w:hAnsi="Arial" w:cs="Arial"/>
          <w:b/>
          <w:sz w:val="22"/>
          <w:szCs w:val="22"/>
        </w:rPr>
        <w:t>o</w:t>
      </w:r>
      <w:r w:rsidRPr="000617DB">
        <w:rPr>
          <w:rFonts w:ascii="Arial" w:hAnsi="Arial" w:cs="Arial"/>
          <w:b/>
          <w:sz w:val="22"/>
          <w:szCs w:val="22"/>
        </w:rPr>
        <w:t xml:space="preserve">U </w:t>
      </w:r>
      <w:r>
        <w:rPr>
          <w:rFonts w:ascii="Arial" w:hAnsi="Arial" w:cs="Arial"/>
          <w:b/>
          <w:sz w:val="22"/>
          <w:szCs w:val="22"/>
        </w:rPr>
        <w:t>for</w:t>
      </w:r>
      <w:r w:rsidRPr="000617DB">
        <w:rPr>
          <w:rFonts w:ascii="Arial" w:hAnsi="Arial" w:cs="Arial"/>
          <w:b/>
          <w:sz w:val="22"/>
          <w:szCs w:val="22"/>
        </w:rPr>
        <w:t xml:space="preserve"> </w:t>
      </w:r>
      <w:r w:rsidR="002C2419" w:rsidRPr="000617DB">
        <w:rPr>
          <w:rFonts w:ascii="Arial" w:hAnsi="Arial" w:cs="Arial"/>
          <w:b/>
          <w:sz w:val="22"/>
          <w:szCs w:val="22"/>
        </w:rPr>
        <w:t>2018</w:t>
      </w:r>
      <w:r w:rsidR="00CA5BBC" w:rsidRPr="000617DB">
        <w:rPr>
          <w:rFonts w:ascii="Arial" w:hAnsi="Arial" w:cs="Arial"/>
          <w:b/>
          <w:sz w:val="22"/>
          <w:szCs w:val="22"/>
        </w:rPr>
        <w:t>/1</w:t>
      </w:r>
      <w:r w:rsidR="002C2419" w:rsidRPr="000617DB">
        <w:rPr>
          <w:rFonts w:ascii="Arial" w:hAnsi="Arial" w:cs="Arial"/>
          <w:b/>
          <w:sz w:val="22"/>
          <w:szCs w:val="22"/>
        </w:rPr>
        <w:t>9</w:t>
      </w:r>
    </w:p>
    <w:p w14:paraId="345E56FA" w14:textId="45A00BA4" w:rsidR="00087BA2" w:rsidRPr="00087BA2" w:rsidRDefault="005D0BE3" w:rsidP="00087BA2">
      <w:pPr>
        <w:pStyle w:val="ListParagraph"/>
        <w:numPr>
          <w:ilvl w:val="0"/>
          <w:numId w:val="23"/>
        </w:numPr>
        <w:rPr>
          <w:rFonts w:ascii="Arial" w:hAnsi="Arial" w:cs="Arial"/>
          <w:sz w:val="22"/>
          <w:szCs w:val="22"/>
        </w:rPr>
      </w:pPr>
      <w:r w:rsidRPr="000617DB">
        <w:rPr>
          <w:rFonts w:ascii="Arial" w:hAnsi="Arial" w:cs="Arial"/>
          <w:sz w:val="22"/>
          <w:szCs w:val="22"/>
        </w:rPr>
        <w:t>At previous meetings m</w:t>
      </w:r>
      <w:r w:rsidR="004675B3" w:rsidRPr="000617DB">
        <w:rPr>
          <w:rFonts w:ascii="Arial" w:hAnsi="Arial" w:cs="Arial"/>
          <w:sz w:val="22"/>
          <w:szCs w:val="22"/>
        </w:rPr>
        <w:t xml:space="preserve">embers have been updated on </w:t>
      </w:r>
      <w:r w:rsidRPr="000617DB">
        <w:rPr>
          <w:rFonts w:ascii="Arial" w:hAnsi="Arial" w:cs="Arial"/>
          <w:sz w:val="22"/>
          <w:szCs w:val="22"/>
        </w:rPr>
        <w:t>the discussions taking place with the government a</w:t>
      </w:r>
      <w:r w:rsidR="004675B3" w:rsidRPr="000617DB">
        <w:rPr>
          <w:rFonts w:ascii="Arial" w:hAnsi="Arial" w:cs="Arial"/>
          <w:sz w:val="22"/>
          <w:szCs w:val="22"/>
        </w:rPr>
        <w:t>bout the grant agreement for 2018/19 and this was finally agreed at the end of March for a total of £20</w:t>
      </w:r>
      <w:r w:rsidR="00087BA2">
        <w:rPr>
          <w:rFonts w:ascii="Arial" w:hAnsi="Arial" w:cs="Arial"/>
          <w:sz w:val="22"/>
          <w:szCs w:val="22"/>
        </w:rPr>
        <w:t xml:space="preserve"> </w:t>
      </w:r>
      <w:r w:rsidR="004675B3" w:rsidRPr="000617DB">
        <w:rPr>
          <w:rFonts w:ascii="Arial" w:hAnsi="Arial" w:cs="Arial"/>
          <w:sz w:val="22"/>
          <w:szCs w:val="22"/>
        </w:rPr>
        <w:t>m</w:t>
      </w:r>
      <w:r w:rsidR="00087BA2">
        <w:rPr>
          <w:rFonts w:ascii="Arial" w:hAnsi="Arial" w:cs="Arial"/>
          <w:sz w:val="22"/>
          <w:szCs w:val="22"/>
        </w:rPr>
        <w:t>illion</w:t>
      </w:r>
      <w:r w:rsidR="007370BA" w:rsidRPr="000617DB">
        <w:rPr>
          <w:rFonts w:ascii="Arial" w:hAnsi="Arial" w:cs="Arial"/>
          <w:sz w:val="22"/>
          <w:szCs w:val="22"/>
        </w:rPr>
        <w:t xml:space="preserve">.  </w:t>
      </w:r>
      <w:r w:rsidR="004675B3" w:rsidRPr="000617DB">
        <w:rPr>
          <w:rFonts w:ascii="Arial" w:hAnsi="Arial" w:cs="Arial"/>
          <w:sz w:val="22"/>
          <w:szCs w:val="22"/>
        </w:rPr>
        <w:t xml:space="preserve"> </w:t>
      </w:r>
    </w:p>
    <w:p w14:paraId="761C4092" w14:textId="77777777" w:rsidR="00087BA2" w:rsidRPr="00087BA2" w:rsidRDefault="00087BA2" w:rsidP="000617DB">
      <w:pPr>
        <w:rPr>
          <w:rFonts w:ascii="Arial" w:hAnsi="Arial" w:cs="Arial"/>
          <w:sz w:val="22"/>
          <w:szCs w:val="22"/>
        </w:rPr>
      </w:pPr>
    </w:p>
    <w:p w14:paraId="5F70766F" w14:textId="27EB799B" w:rsidR="00087BA2" w:rsidRPr="000617DB" w:rsidRDefault="004675B3">
      <w:pPr>
        <w:pStyle w:val="ListParagraph"/>
        <w:numPr>
          <w:ilvl w:val="0"/>
          <w:numId w:val="23"/>
        </w:numPr>
        <w:rPr>
          <w:rFonts w:ascii="Arial" w:hAnsi="Arial" w:cs="Arial"/>
          <w:sz w:val="22"/>
          <w:szCs w:val="22"/>
        </w:rPr>
      </w:pPr>
      <w:r w:rsidRPr="000617DB">
        <w:rPr>
          <w:rFonts w:ascii="Arial" w:hAnsi="Arial" w:cs="Arial"/>
          <w:sz w:val="22"/>
          <w:szCs w:val="22"/>
        </w:rPr>
        <w:t xml:space="preserve"> </w:t>
      </w:r>
      <w:r w:rsidR="00087BA2" w:rsidRPr="000617DB">
        <w:rPr>
          <w:rFonts w:ascii="Arial" w:hAnsi="Arial" w:cs="Arial"/>
          <w:sz w:val="22"/>
          <w:szCs w:val="22"/>
        </w:rPr>
        <w:t xml:space="preserve">The small reduction in grant has resulted in some minor scaling back on the overall work programme, including a reduction in support to the devolution area given that the pipeline of combined authorities has paused to some degree.  In addition, efficiency savings have continued to be made in back office and support services.  In particular the LGA’s overall accommodation strategy and success in obtaining improvement grants for other areas such as Care Health and Improvement Programme, the </w:t>
      </w:r>
      <w:proofErr w:type="spellStart"/>
      <w:r w:rsidR="00087BA2" w:rsidRPr="000617DB">
        <w:rPr>
          <w:rFonts w:ascii="Arial" w:hAnsi="Arial" w:cs="Arial"/>
          <w:sz w:val="22"/>
          <w:szCs w:val="22"/>
        </w:rPr>
        <w:t>DfE</w:t>
      </w:r>
      <w:proofErr w:type="spellEnd"/>
      <w:r w:rsidR="00087BA2" w:rsidRPr="000617DB">
        <w:rPr>
          <w:rFonts w:ascii="Arial" w:hAnsi="Arial" w:cs="Arial"/>
          <w:sz w:val="22"/>
          <w:szCs w:val="22"/>
        </w:rPr>
        <w:t xml:space="preserve"> funded children’s improvement work and the work on cyber security helps to spread the overhead costs across a larger base benefitting all the programmes. </w:t>
      </w:r>
    </w:p>
    <w:p w14:paraId="0117CD90" w14:textId="77777777" w:rsidR="004675B3" w:rsidRPr="00A20995" w:rsidRDefault="004675B3" w:rsidP="000617DB"/>
    <w:p w14:paraId="45BFB879" w14:textId="3A21D94C" w:rsidR="00CA5BBC" w:rsidRPr="003827E1" w:rsidRDefault="009E629A" w:rsidP="000617DB">
      <w:pPr>
        <w:pStyle w:val="ListParagraph"/>
        <w:numPr>
          <w:ilvl w:val="0"/>
          <w:numId w:val="23"/>
        </w:numPr>
        <w:spacing w:after="200" w:line="276" w:lineRule="auto"/>
        <w:contextualSpacing/>
        <w:rPr>
          <w:rFonts w:ascii="Arial" w:hAnsi="Arial" w:cs="Arial"/>
          <w:sz w:val="22"/>
          <w:szCs w:val="22"/>
        </w:rPr>
      </w:pPr>
      <w:r w:rsidRPr="000617DB">
        <w:rPr>
          <w:rFonts w:ascii="Arial" w:hAnsi="Arial" w:cs="Arial"/>
          <w:sz w:val="22"/>
          <w:szCs w:val="22"/>
        </w:rPr>
        <w:t>T</w:t>
      </w:r>
      <w:r w:rsidR="00CA5BBC" w:rsidRPr="000617DB">
        <w:rPr>
          <w:rFonts w:ascii="Arial" w:hAnsi="Arial" w:cs="Arial"/>
          <w:sz w:val="22"/>
          <w:szCs w:val="22"/>
        </w:rPr>
        <w:t xml:space="preserve">he </w:t>
      </w:r>
      <w:r w:rsidRPr="000617DB">
        <w:rPr>
          <w:rFonts w:ascii="Arial" w:hAnsi="Arial" w:cs="Arial"/>
          <w:sz w:val="22"/>
          <w:szCs w:val="22"/>
        </w:rPr>
        <w:t xml:space="preserve">programme of sector improvement support agreed as part of the </w:t>
      </w:r>
      <w:r w:rsidR="00087BA2" w:rsidRPr="000617DB">
        <w:rPr>
          <w:rFonts w:ascii="Arial" w:hAnsi="Arial" w:cs="Arial"/>
          <w:sz w:val="22"/>
          <w:szCs w:val="22"/>
        </w:rPr>
        <w:t>M</w:t>
      </w:r>
      <w:r w:rsidR="00087BA2">
        <w:rPr>
          <w:rFonts w:ascii="Arial" w:hAnsi="Arial" w:cs="Arial"/>
          <w:sz w:val="22"/>
          <w:szCs w:val="22"/>
        </w:rPr>
        <w:t>o</w:t>
      </w:r>
      <w:r w:rsidR="00087BA2" w:rsidRPr="000617DB">
        <w:rPr>
          <w:rFonts w:ascii="Arial" w:hAnsi="Arial" w:cs="Arial"/>
          <w:sz w:val="22"/>
          <w:szCs w:val="22"/>
        </w:rPr>
        <w:t xml:space="preserve">U </w:t>
      </w:r>
      <w:r w:rsidRPr="000617DB">
        <w:rPr>
          <w:rFonts w:ascii="Arial" w:hAnsi="Arial" w:cs="Arial"/>
          <w:sz w:val="22"/>
          <w:szCs w:val="22"/>
        </w:rPr>
        <w:t>is attached as</w:t>
      </w:r>
      <w:r w:rsidR="00BA2807" w:rsidRPr="000617DB">
        <w:rPr>
          <w:rFonts w:ascii="Arial" w:hAnsi="Arial" w:cs="Arial"/>
          <w:sz w:val="22"/>
          <w:szCs w:val="22"/>
        </w:rPr>
        <w:t xml:space="preserve"> </w:t>
      </w:r>
      <w:r w:rsidR="00BA2807" w:rsidRPr="00BA621E">
        <w:rPr>
          <w:rFonts w:ascii="Arial" w:hAnsi="Arial" w:cs="Arial"/>
          <w:b/>
          <w:sz w:val="22"/>
          <w:szCs w:val="22"/>
          <w:u w:val="single"/>
        </w:rPr>
        <w:t xml:space="preserve">Appendix </w:t>
      </w:r>
      <w:r w:rsidR="00087BA2" w:rsidRPr="00BA621E">
        <w:rPr>
          <w:rFonts w:ascii="Arial" w:hAnsi="Arial" w:cs="Arial"/>
          <w:b/>
          <w:sz w:val="22"/>
          <w:szCs w:val="22"/>
          <w:u w:val="single"/>
        </w:rPr>
        <w:t>B</w:t>
      </w:r>
      <w:r w:rsidR="00087BA2" w:rsidRPr="000617DB">
        <w:rPr>
          <w:rFonts w:ascii="Arial" w:hAnsi="Arial" w:cs="Arial"/>
          <w:b/>
          <w:sz w:val="22"/>
          <w:szCs w:val="22"/>
        </w:rPr>
        <w:t>.</w:t>
      </w:r>
    </w:p>
    <w:p w14:paraId="0A02D3EA" w14:textId="77777777" w:rsidR="003827E1" w:rsidRPr="003827E1" w:rsidRDefault="003827E1" w:rsidP="003827E1">
      <w:pPr>
        <w:pStyle w:val="ListParagraph"/>
        <w:rPr>
          <w:rFonts w:ascii="Arial" w:hAnsi="Arial" w:cs="Arial"/>
          <w:sz w:val="22"/>
          <w:szCs w:val="22"/>
        </w:rPr>
      </w:pPr>
    </w:p>
    <w:p w14:paraId="2E5B9228" w14:textId="77777777" w:rsidR="003827E1" w:rsidRDefault="003827E1" w:rsidP="003827E1">
      <w:pPr>
        <w:pStyle w:val="ListParagraph"/>
        <w:spacing w:after="200" w:line="276" w:lineRule="auto"/>
        <w:ind w:left="360"/>
        <w:contextualSpacing/>
        <w:rPr>
          <w:rFonts w:ascii="Arial" w:hAnsi="Arial" w:cs="Arial"/>
          <w:sz w:val="22"/>
          <w:szCs w:val="22"/>
        </w:rPr>
      </w:pPr>
    </w:p>
    <w:p w14:paraId="7104DF9A" w14:textId="77777777" w:rsidR="003827E1" w:rsidRPr="000617DB" w:rsidRDefault="003827E1" w:rsidP="003827E1">
      <w:pPr>
        <w:pStyle w:val="ListParagraph"/>
        <w:spacing w:after="200" w:line="276" w:lineRule="auto"/>
        <w:ind w:left="360"/>
        <w:contextualSpacing/>
        <w:rPr>
          <w:rFonts w:ascii="Arial" w:hAnsi="Arial" w:cs="Arial"/>
          <w:sz w:val="22"/>
          <w:szCs w:val="22"/>
        </w:rPr>
      </w:pPr>
    </w:p>
    <w:p w14:paraId="60879FF0" w14:textId="77777777" w:rsidR="00A83FBB" w:rsidRPr="000617DB" w:rsidRDefault="00A83FBB" w:rsidP="00A83FBB">
      <w:pPr>
        <w:rPr>
          <w:rFonts w:ascii="Arial" w:hAnsi="Arial" w:cs="Arial"/>
          <w:sz w:val="22"/>
          <w:szCs w:val="22"/>
        </w:rPr>
      </w:pPr>
      <w:r w:rsidRPr="000617DB">
        <w:rPr>
          <w:rFonts w:ascii="Arial" w:hAnsi="Arial" w:cs="Arial"/>
          <w:b/>
          <w:sz w:val="22"/>
          <w:szCs w:val="22"/>
        </w:rPr>
        <w:lastRenderedPageBreak/>
        <w:t>Financial Implications</w:t>
      </w:r>
    </w:p>
    <w:p w14:paraId="4E0FA722" w14:textId="77777777" w:rsidR="00A83FBB" w:rsidRPr="000617DB" w:rsidRDefault="00A83FBB" w:rsidP="000617DB">
      <w:pPr>
        <w:rPr>
          <w:rFonts w:ascii="Arial" w:hAnsi="Arial" w:cs="Arial"/>
          <w:color w:val="FF0000"/>
          <w:sz w:val="22"/>
          <w:szCs w:val="22"/>
        </w:rPr>
      </w:pPr>
    </w:p>
    <w:p w14:paraId="241B3E0E" w14:textId="30F5B44C" w:rsidR="000617DB" w:rsidRPr="000617DB" w:rsidRDefault="000617DB" w:rsidP="000617DB">
      <w:pPr>
        <w:pStyle w:val="ListParagraph"/>
        <w:numPr>
          <w:ilvl w:val="0"/>
          <w:numId w:val="23"/>
        </w:numPr>
        <w:rPr>
          <w:rFonts w:ascii="Arial" w:hAnsi="Arial" w:cs="Arial"/>
          <w:sz w:val="22"/>
          <w:szCs w:val="22"/>
        </w:rPr>
      </w:pPr>
      <w:r w:rsidRPr="000617DB">
        <w:rPr>
          <w:rFonts w:ascii="Arial" w:hAnsi="Arial" w:cs="Arial"/>
          <w:sz w:val="22"/>
          <w:szCs w:val="22"/>
        </w:rPr>
        <w:t>The programme of improvement support for 2018/19 will be met by MHCLG grant</w:t>
      </w:r>
      <w:r w:rsidR="002241B3">
        <w:rPr>
          <w:rFonts w:ascii="Arial" w:hAnsi="Arial" w:cs="Arial"/>
          <w:sz w:val="22"/>
          <w:szCs w:val="22"/>
        </w:rPr>
        <w:t>.</w:t>
      </w:r>
    </w:p>
    <w:p w14:paraId="4D88D083" w14:textId="77777777" w:rsidR="000617DB" w:rsidRPr="000617DB" w:rsidRDefault="000617DB" w:rsidP="000617DB">
      <w:pPr>
        <w:pStyle w:val="ListParagraph"/>
        <w:ind w:left="360"/>
        <w:rPr>
          <w:rFonts w:ascii="Arial" w:hAnsi="Arial" w:cs="Arial"/>
          <w:sz w:val="22"/>
          <w:szCs w:val="22"/>
        </w:rPr>
      </w:pPr>
    </w:p>
    <w:p w14:paraId="26E97B72" w14:textId="77777777" w:rsidR="00A83FBB" w:rsidRPr="000617DB" w:rsidRDefault="00A83FBB" w:rsidP="00A83FBB">
      <w:pPr>
        <w:rPr>
          <w:rFonts w:ascii="Arial" w:hAnsi="Arial" w:cs="Arial"/>
          <w:b/>
          <w:sz w:val="22"/>
          <w:szCs w:val="22"/>
        </w:rPr>
      </w:pPr>
      <w:r w:rsidRPr="000617DB">
        <w:rPr>
          <w:rFonts w:ascii="Arial" w:hAnsi="Arial" w:cs="Arial"/>
          <w:b/>
          <w:sz w:val="22"/>
          <w:szCs w:val="22"/>
        </w:rPr>
        <w:t>Implications for Wales</w:t>
      </w:r>
    </w:p>
    <w:p w14:paraId="66318081" w14:textId="77777777" w:rsidR="00A83FBB" w:rsidRPr="000617DB" w:rsidRDefault="00A83FBB" w:rsidP="00A83FBB">
      <w:pPr>
        <w:pStyle w:val="ListParagraph"/>
        <w:ind w:left="360"/>
        <w:rPr>
          <w:rFonts w:ascii="Arial" w:hAnsi="Arial" w:cs="Arial"/>
          <w:b/>
          <w:color w:val="FF0000"/>
          <w:sz w:val="22"/>
          <w:szCs w:val="22"/>
        </w:rPr>
      </w:pPr>
    </w:p>
    <w:p w14:paraId="472C699E" w14:textId="423CC8F2" w:rsidR="000617DB" w:rsidRPr="000617DB" w:rsidRDefault="000617DB" w:rsidP="000617DB">
      <w:pPr>
        <w:pStyle w:val="ListParagraph"/>
        <w:numPr>
          <w:ilvl w:val="0"/>
          <w:numId w:val="23"/>
        </w:numPr>
        <w:rPr>
          <w:rFonts w:ascii="Arial" w:hAnsi="Arial" w:cs="Arial"/>
          <w:sz w:val="22"/>
          <w:szCs w:val="22"/>
        </w:rPr>
      </w:pPr>
      <w:r w:rsidRPr="000617DB">
        <w:rPr>
          <w:rFonts w:ascii="Arial" w:hAnsi="Arial" w:cs="Arial"/>
          <w:sz w:val="22"/>
          <w:szCs w:val="22"/>
        </w:rPr>
        <w:t>The MoU only covers English authorities</w:t>
      </w:r>
      <w:r w:rsidR="002241B3">
        <w:rPr>
          <w:rFonts w:ascii="Arial" w:hAnsi="Arial" w:cs="Arial"/>
          <w:sz w:val="22"/>
          <w:szCs w:val="22"/>
        </w:rPr>
        <w:t>.</w:t>
      </w:r>
    </w:p>
    <w:p w14:paraId="321EBEB9" w14:textId="77777777" w:rsidR="00A83FBB" w:rsidRDefault="00A83FBB" w:rsidP="000617DB">
      <w:pPr>
        <w:spacing w:after="200" w:line="276" w:lineRule="auto"/>
        <w:contextualSpacing/>
        <w:rPr>
          <w:rFonts w:ascii="Arial" w:hAnsi="Arial" w:cs="Arial"/>
          <w:b/>
          <w:sz w:val="22"/>
          <w:szCs w:val="22"/>
        </w:rPr>
      </w:pPr>
    </w:p>
    <w:p w14:paraId="40FB9AD5" w14:textId="0F6FC229" w:rsidR="00087BA2" w:rsidRDefault="00087BA2" w:rsidP="000617DB">
      <w:pPr>
        <w:spacing w:after="200" w:line="276" w:lineRule="auto"/>
        <w:contextualSpacing/>
        <w:rPr>
          <w:rFonts w:ascii="Arial" w:hAnsi="Arial" w:cs="Arial"/>
          <w:b/>
          <w:sz w:val="22"/>
          <w:szCs w:val="22"/>
        </w:rPr>
      </w:pPr>
      <w:r w:rsidRPr="000617DB">
        <w:rPr>
          <w:rFonts w:ascii="Arial" w:hAnsi="Arial" w:cs="Arial"/>
          <w:b/>
          <w:sz w:val="22"/>
          <w:szCs w:val="22"/>
        </w:rPr>
        <w:t>Appendices</w:t>
      </w:r>
    </w:p>
    <w:p w14:paraId="1DC023E2" w14:textId="23E90FBE" w:rsidR="00087BA2" w:rsidRPr="000617DB" w:rsidRDefault="00087BA2" w:rsidP="000617DB">
      <w:pPr>
        <w:pStyle w:val="ListParagraph"/>
        <w:numPr>
          <w:ilvl w:val="0"/>
          <w:numId w:val="23"/>
        </w:numPr>
        <w:spacing w:after="200" w:line="276" w:lineRule="auto"/>
        <w:contextualSpacing/>
        <w:rPr>
          <w:rFonts w:ascii="Arial" w:hAnsi="Arial" w:cs="Arial"/>
          <w:sz w:val="22"/>
          <w:szCs w:val="22"/>
        </w:rPr>
      </w:pPr>
      <w:r w:rsidRPr="00BA621E">
        <w:rPr>
          <w:rFonts w:ascii="Arial" w:hAnsi="Arial" w:cs="Arial"/>
          <w:b/>
          <w:sz w:val="22"/>
          <w:szCs w:val="22"/>
          <w:u w:val="single"/>
        </w:rPr>
        <w:t>Appendix A</w:t>
      </w:r>
      <w:r w:rsidRPr="00A83FBB">
        <w:rPr>
          <w:rFonts w:ascii="Arial" w:hAnsi="Arial" w:cs="Arial"/>
          <w:b/>
          <w:sz w:val="22"/>
          <w:szCs w:val="22"/>
        </w:rPr>
        <w:t xml:space="preserve"> </w:t>
      </w:r>
      <w:r w:rsidRPr="000617DB">
        <w:rPr>
          <w:rFonts w:ascii="Arial" w:hAnsi="Arial" w:cs="Arial"/>
          <w:sz w:val="22"/>
          <w:szCs w:val="22"/>
        </w:rPr>
        <w:t xml:space="preserve">- </w:t>
      </w:r>
      <w:r w:rsidR="00A83FBB" w:rsidRPr="000617DB">
        <w:rPr>
          <w:rFonts w:ascii="Arial" w:hAnsi="Arial" w:cs="Arial"/>
          <w:sz w:val="22"/>
          <w:szCs w:val="22"/>
        </w:rPr>
        <w:t xml:space="preserve">Q4 </w:t>
      </w:r>
      <w:r w:rsidRPr="000617DB">
        <w:rPr>
          <w:rFonts w:ascii="Arial" w:hAnsi="Arial" w:cs="Arial"/>
          <w:sz w:val="22"/>
          <w:szCs w:val="22"/>
        </w:rPr>
        <w:t xml:space="preserve">KPI performance report </w:t>
      </w:r>
    </w:p>
    <w:p w14:paraId="37FB3F4A" w14:textId="18971960" w:rsidR="00087BA2" w:rsidRPr="000617DB" w:rsidRDefault="00087BA2" w:rsidP="000617DB">
      <w:pPr>
        <w:pStyle w:val="ListParagraph"/>
        <w:numPr>
          <w:ilvl w:val="0"/>
          <w:numId w:val="23"/>
        </w:numPr>
        <w:spacing w:after="200" w:line="276" w:lineRule="auto"/>
        <w:contextualSpacing/>
        <w:rPr>
          <w:rFonts w:ascii="Arial" w:hAnsi="Arial" w:cs="Arial"/>
          <w:b/>
          <w:sz w:val="22"/>
          <w:szCs w:val="22"/>
        </w:rPr>
      </w:pPr>
      <w:r w:rsidRPr="00BA621E">
        <w:rPr>
          <w:rFonts w:ascii="Arial" w:hAnsi="Arial" w:cs="Arial"/>
          <w:b/>
          <w:sz w:val="22"/>
          <w:szCs w:val="22"/>
          <w:u w:val="single"/>
        </w:rPr>
        <w:t>Appendix B</w:t>
      </w:r>
      <w:r w:rsidRPr="00A83FBB">
        <w:rPr>
          <w:rFonts w:ascii="Arial" w:hAnsi="Arial" w:cs="Arial"/>
          <w:b/>
          <w:sz w:val="22"/>
          <w:szCs w:val="22"/>
        </w:rPr>
        <w:t xml:space="preserve"> </w:t>
      </w:r>
      <w:r w:rsidRPr="000617DB">
        <w:rPr>
          <w:rFonts w:ascii="Arial" w:hAnsi="Arial" w:cs="Arial"/>
          <w:sz w:val="22"/>
          <w:szCs w:val="22"/>
        </w:rPr>
        <w:t>- Programme of sector improvement support agreed as part of the MoU</w:t>
      </w:r>
    </w:p>
    <w:p w14:paraId="182FCBA8" w14:textId="7A77B649" w:rsidR="00A83FBB" w:rsidRDefault="00A83FBB" w:rsidP="000617DB">
      <w:pPr>
        <w:spacing w:after="200" w:line="276" w:lineRule="auto"/>
        <w:contextualSpacing/>
        <w:rPr>
          <w:rFonts w:ascii="Arial" w:hAnsi="Arial" w:cs="Arial"/>
          <w:b/>
          <w:sz w:val="22"/>
          <w:szCs w:val="22"/>
        </w:rPr>
      </w:pPr>
      <w:r>
        <w:rPr>
          <w:rFonts w:ascii="Arial" w:hAnsi="Arial" w:cs="Arial"/>
          <w:b/>
          <w:sz w:val="22"/>
          <w:szCs w:val="22"/>
        </w:rPr>
        <w:t>Next Steps</w:t>
      </w:r>
    </w:p>
    <w:p w14:paraId="783079CF" w14:textId="2F72BDCC" w:rsidR="00A83FBB" w:rsidRPr="000617DB" w:rsidRDefault="00A83FBB" w:rsidP="000617DB">
      <w:pPr>
        <w:pStyle w:val="ListParagraph"/>
        <w:numPr>
          <w:ilvl w:val="0"/>
          <w:numId w:val="23"/>
        </w:numPr>
        <w:rPr>
          <w:rFonts w:ascii="Arial" w:hAnsi="Arial" w:cs="Arial"/>
          <w:sz w:val="22"/>
          <w:szCs w:val="22"/>
        </w:rPr>
      </w:pPr>
      <w:r w:rsidRPr="000617DB">
        <w:rPr>
          <w:rFonts w:ascii="Arial" w:hAnsi="Arial" w:cs="Arial"/>
          <w:sz w:val="22"/>
          <w:szCs w:val="22"/>
        </w:rPr>
        <w:t>Members of the Improvement and Innovation Board</w:t>
      </w:r>
      <w:r>
        <w:rPr>
          <w:rFonts w:ascii="Arial" w:hAnsi="Arial" w:cs="Arial"/>
          <w:sz w:val="22"/>
          <w:szCs w:val="22"/>
        </w:rPr>
        <w:t xml:space="preserve"> to</w:t>
      </w:r>
      <w:r w:rsidRPr="000617DB">
        <w:rPr>
          <w:rFonts w:ascii="Arial" w:hAnsi="Arial" w:cs="Arial"/>
          <w:sz w:val="22"/>
          <w:szCs w:val="22"/>
        </w:rPr>
        <w:t xml:space="preserve"> consider the report and agree any follow-up actions.</w:t>
      </w:r>
    </w:p>
    <w:p w14:paraId="34CB5960" w14:textId="77777777" w:rsidR="00A83FBB" w:rsidRPr="000617DB" w:rsidRDefault="00A83FBB" w:rsidP="000617DB">
      <w:pPr>
        <w:spacing w:after="200" w:line="276" w:lineRule="auto"/>
        <w:contextualSpacing/>
        <w:rPr>
          <w:rFonts w:ascii="Arial" w:hAnsi="Arial" w:cs="Arial"/>
          <w:b/>
          <w:sz w:val="22"/>
          <w:szCs w:val="22"/>
        </w:rPr>
      </w:pPr>
    </w:p>
    <w:sectPr w:rsidR="00A83FBB" w:rsidRPr="000617D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0EAA7" w14:textId="77777777" w:rsidR="0036064F" w:rsidRDefault="0036064F">
      <w:r>
        <w:separator/>
      </w:r>
    </w:p>
  </w:endnote>
  <w:endnote w:type="continuationSeparator" w:id="0">
    <w:p w14:paraId="5C4A64D4" w14:textId="77777777" w:rsidR="0036064F" w:rsidRDefault="0036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2FFD" w14:textId="77777777" w:rsidR="00464B1E" w:rsidRDefault="00464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EDF70" w14:textId="77777777" w:rsidR="00464B1E" w:rsidRDefault="00464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951B" w14:textId="77777777" w:rsidR="00464B1E" w:rsidRDefault="0046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DB14" w14:textId="77777777" w:rsidR="0036064F" w:rsidRDefault="0036064F">
      <w:r>
        <w:separator/>
      </w:r>
    </w:p>
  </w:footnote>
  <w:footnote w:type="continuationSeparator" w:id="0">
    <w:p w14:paraId="20A1450A" w14:textId="77777777" w:rsidR="0036064F" w:rsidRDefault="0036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765B" w14:textId="77777777" w:rsidR="00464B1E" w:rsidRDefault="00464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9E44" w14:textId="77777777" w:rsidR="00A20995" w:rsidRDefault="00A20995" w:rsidP="00A20995">
    <w:pPr>
      <w:pStyle w:val="Header"/>
    </w:pPr>
    <w:bookmarkStart w:id="0" w:name="_GoBack"/>
    <w:bookmarkEnd w:id="0"/>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9"/>
    </w:tblGrid>
    <w:tr w:rsidR="00A20995" w:rsidRPr="00A20995" w14:paraId="60B0BBD8" w14:textId="77777777" w:rsidTr="00464B1E">
      <w:trPr>
        <w:trHeight w:val="416"/>
      </w:trPr>
      <w:tc>
        <w:tcPr>
          <w:tcW w:w="5529" w:type="dxa"/>
          <w:vMerge w:val="restart"/>
        </w:tcPr>
        <w:p w14:paraId="45DD8453" w14:textId="77777777" w:rsidR="00A20995" w:rsidRPr="00A20995" w:rsidRDefault="00A20995" w:rsidP="00A20995">
          <w:pPr>
            <w:rPr>
              <w:rFonts w:ascii="Arial" w:hAnsi="Arial" w:cs="Arial"/>
              <w:sz w:val="22"/>
              <w:szCs w:val="22"/>
            </w:rPr>
          </w:pPr>
          <w:r w:rsidRPr="00A20995">
            <w:rPr>
              <w:rFonts w:ascii="Arial" w:hAnsi="Arial" w:cs="Arial"/>
              <w:noProof/>
              <w:sz w:val="22"/>
              <w:szCs w:val="22"/>
            </w:rPr>
            <w:drawing>
              <wp:inline distT="0" distB="0" distL="0" distR="0" wp14:anchorId="6007DD35" wp14:editId="28BE1A1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tcPr>
        <w:p w14:paraId="5E2A3406" w14:textId="77777777" w:rsidR="00A20995" w:rsidRPr="00A20995" w:rsidRDefault="00A20995" w:rsidP="00A20995">
          <w:pPr>
            <w:pStyle w:val="NoSpacing"/>
            <w:rPr>
              <w:rFonts w:ascii="Arial" w:hAnsi="Arial" w:cs="Arial"/>
              <w:b/>
            </w:rPr>
          </w:pPr>
          <w:r w:rsidRPr="00A20995">
            <w:rPr>
              <w:rFonts w:ascii="Arial" w:hAnsi="Arial" w:cs="Arial"/>
              <w:b/>
            </w:rPr>
            <w:t xml:space="preserve">Improvement and Innovation Board </w:t>
          </w:r>
        </w:p>
        <w:p w14:paraId="141ABC26" w14:textId="77777777" w:rsidR="00A20995" w:rsidRPr="00A20995" w:rsidRDefault="00A20995" w:rsidP="00A20995">
          <w:pPr>
            <w:pStyle w:val="NoSpacing"/>
            <w:rPr>
              <w:rFonts w:ascii="Arial" w:hAnsi="Arial" w:cs="Arial"/>
            </w:rPr>
          </w:pPr>
        </w:p>
      </w:tc>
    </w:tr>
    <w:tr w:rsidR="00A20995" w:rsidRPr="00A20995" w14:paraId="13811EC0" w14:textId="77777777" w:rsidTr="00464B1E">
      <w:trPr>
        <w:trHeight w:val="406"/>
      </w:trPr>
      <w:tc>
        <w:tcPr>
          <w:tcW w:w="5529" w:type="dxa"/>
          <w:vMerge/>
        </w:tcPr>
        <w:p w14:paraId="77233697" w14:textId="77777777" w:rsidR="00A20995" w:rsidRPr="00A20995" w:rsidRDefault="00A20995" w:rsidP="00A20995">
          <w:pPr>
            <w:rPr>
              <w:rFonts w:ascii="Arial" w:hAnsi="Arial" w:cs="Arial"/>
              <w:sz w:val="22"/>
              <w:szCs w:val="22"/>
            </w:rPr>
          </w:pPr>
        </w:p>
      </w:tc>
      <w:tc>
        <w:tcPr>
          <w:tcW w:w="3969" w:type="dxa"/>
        </w:tcPr>
        <w:sdt>
          <w:sdtPr>
            <w:rPr>
              <w:rFonts w:ascii="Arial" w:hAnsi="Arial" w:cs="Arial"/>
              <w:sz w:val="22"/>
              <w:szCs w:val="22"/>
            </w:rPr>
            <w:alias w:val="Date"/>
            <w:tag w:val="Date"/>
            <w:id w:val="-488943452"/>
            <w:placeholder>
              <w:docPart w:val="D150A2016DB04D8BA32F8EEBFC5B90EC"/>
            </w:placeholder>
            <w:date w:fullDate="2018-05-24T00:00:00Z">
              <w:dateFormat w:val="dd MMMM yyyy"/>
              <w:lid w:val="en-GB"/>
              <w:storeMappedDataAs w:val="dateTime"/>
              <w:calendar w:val="gregorian"/>
            </w:date>
          </w:sdtPr>
          <w:sdtEndPr/>
          <w:sdtContent>
            <w:p w14:paraId="1CF238FE" w14:textId="77777777" w:rsidR="00A20995" w:rsidRPr="00A20995" w:rsidRDefault="00A20995" w:rsidP="00A20995">
              <w:pPr>
                <w:rPr>
                  <w:rFonts w:ascii="Arial" w:hAnsi="Arial" w:cs="Arial"/>
                  <w:sz w:val="22"/>
                  <w:szCs w:val="22"/>
                </w:rPr>
              </w:pPr>
              <w:r w:rsidRPr="00A20995">
                <w:rPr>
                  <w:rFonts w:ascii="Arial" w:hAnsi="Arial" w:cs="Arial"/>
                  <w:sz w:val="22"/>
                  <w:szCs w:val="22"/>
                </w:rPr>
                <w:t>24 May 2018</w:t>
              </w:r>
            </w:p>
          </w:sdtContent>
        </w:sdt>
      </w:tc>
    </w:tr>
    <w:tr w:rsidR="00A20995" w:rsidRPr="00A20995" w14:paraId="788D4E75" w14:textId="77777777" w:rsidTr="00464B1E">
      <w:trPr>
        <w:trHeight w:val="89"/>
      </w:trPr>
      <w:tc>
        <w:tcPr>
          <w:tcW w:w="5529" w:type="dxa"/>
          <w:vMerge/>
        </w:tcPr>
        <w:p w14:paraId="5B85613F" w14:textId="77777777" w:rsidR="00A20995" w:rsidRPr="00A20995" w:rsidRDefault="00A20995" w:rsidP="00A20995">
          <w:pPr>
            <w:rPr>
              <w:rFonts w:ascii="Arial" w:hAnsi="Arial" w:cs="Arial"/>
              <w:sz w:val="22"/>
              <w:szCs w:val="22"/>
            </w:rPr>
          </w:pPr>
        </w:p>
      </w:tc>
      <w:tc>
        <w:tcPr>
          <w:tcW w:w="3969" w:type="dxa"/>
        </w:tcPr>
        <w:p w14:paraId="26F0A241" w14:textId="77777777" w:rsidR="00A20995" w:rsidRPr="00A20995" w:rsidRDefault="00A20995" w:rsidP="00A20995">
          <w:pPr>
            <w:rPr>
              <w:rFonts w:ascii="Arial" w:hAnsi="Arial" w:cs="Arial"/>
              <w:sz w:val="22"/>
              <w:szCs w:val="22"/>
            </w:rPr>
          </w:pPr>
        </w:p>
      </w:tc>
    </w:tr>
  </w:tbl>
  <w:p w14:paraId="57972184" w14:textId="77777777" w:rsidR="00A20995" w:rsidRDefault="00A20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ABF1" w14:textId="77777777" w:rsidR="00464B1E" w:rsidRDefault="00464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B7"/>
    <w:multiLevelType w:val="hybridMultilevel"/>
    <w:tmpl w:val="F222810E"/>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0F6455"/>
    <w:multiLevelType w:val="hybridMultilevel"/>
    <w:tmpl w:val="9BB85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A25AB"/>
    <w:multiLevelType w:val="hybridMultilevel"/>
    <w:tmpl w:val="952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58EE"/>
    <w:multiLevelType w:val="hybridMultilevel"/>
    <w:tmpl w:val="CE9AA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636611"/>
    <w:multiLevelType w:val="hybridMultilevel"/>
    <w:tmpl w:val="020611DE"/>
    <w:lvl w:ilvl="0" w:tplc="23780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2A53E9"/>
    <w:multiLevelType w:val="hybridMultilevel"/>
    <w:tmpl w:val="1948443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5337C5"/>
    <w:multiLevelType w:val="multilevel"/>
    <w:tmpl w:val="30B03B7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716A7F"/>
    <w:multiLevelType w:val="hybridMultilevel"/>
    <w:tmpl w:val="AB0C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5A671E"/>
    <w:multiLevelType w:val="hybridMultilevel"/>
    <w:tmpl w:val="828EFD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5C709F4"/>
    <w:multiLevelType w:val="hybridMultilevel"/>
    <w:tmpl w:val="0E2AD8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E1806D1"/>
    <w:multiLevelType w:val="hybridMultilevel"/>
    <w:tmpl w:val="535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78528E9"/>
    <w:multiLevelType w:val="hybridMultilevel"/>
    <w:tmpl w:val="70E2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02049D"/>
    <w:multiLevelType w:val="hybridMultilevel"/>
    <w:tmpl w:val="38CAFF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E934E06"/>
    <w:multiLevelType w:val="multilevel"/>
    <w:tmpl w:val="A2F05BAE"/>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E82C4A"/>
    <w:multiLevelType w:val="multilevel"/>
    <w:tmpl w:val="8E26A9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FE42BBC"/>
    <w:multiLevelType w:val="multilevel"/>
    <w:tmpl w:val="7BF850E0"/>
    <w:lvl w:ilvl="0">
      <w:start w:val="5"/>
      <w:numFmt w:val="decimal"/>
      <w:lvlText w:val="%1."/>
      <w:lvlJc w:val="left"/>
      <w:pPr>
        <w:ind w:left="360" w:hanging="36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ABA4DFA"/>
    <w:multiLevelType w:val="hybridMultilevel"/>
    <w:tmpl w:val="4A005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7C4E96"/>
    <w:multiLevelType w:val="hybridMultilevel"/>
    <w:tmpl w:val="0CFA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BA0D6B"/>
    <w:multiLevelType w:val="hybridMultilevel"/>
    <w:tmpl w:val="09D69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4D31B8"/>
    <w:multiLevelType w:val="hybridMultilevel"/>
    <w:tmpl w:val="4B380B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785B15B2"/>
    <w:multiLevelType w:val="hybridMultilevel"/>
    <w:tmpl w:val="150C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CF622B"/>
    <w:multiLevelType w:val="hybridMultilevel"/>
    <w:tmpl w:val="C9E8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F823E9"/>
    <w:multiLevelType w:val="hybridMultilevel"/>
    <w:tmpl w:val="93AA805C"/>
    <w:lvl w:ilvl="0" w:tplc="D1A0644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9"/>
  </w:num>
  <w:num w:numId="5">
    <w:abstractNumId w:val="6"/>
  </w:num>
  <w:num w:numId="6">
    <w:abstractNumId w:val="2"/>
  </w:num>
  <w:num w:numId="7">
    <w:abstractNumId w:val="13"/>
  </w:num>
  <w:num w:numId="8">
    <w:abstractNumId w:val="1"/>
  </w:num>
  <w:num w:numId="9">
    <w:abstractNumId w:val="12"/>
  </w:num>
  <w:num w:numId="10">
    <w:abstractNumId w:val="22"/>
  </w:num>
  <w:num w:numId="11">
    <w:abstractNumId w:val="21"/>
  </w:num>
  <w:num w:numId="12">
    <w:abstractNumId w:val="3"/>
  </w:num>
  <w:num w:numId="13">
    <w:abstractNumId w:val="10"/>
  </w:num>
  <w:num w:numId="14">
    <w:abstractNumId w:val="7"/>
  </w:num>
  <w:num w:numId="15">
    <w:abstractNumId w:val="19"/>
  </w:num>
  <w:num w:numId="16">
    <w:abstractNumId w:val="17"/>
  </w:num>
  <w:num w:numId="17">
    <w:abstractNumId w:val="0"/>
  </w:num>
  <w:num w:numId="18">
    <w:abstractNumId w:val="18"/>
  </w:num>
  <w:num w:numId="19">
    <w:abstractNumId w:val="4"/>
  </w:num>
  <w:num w:numId="20">
    <w:abstractNumId w:val="8"/>
  </w:num>
  <w:num w:numId="21">
    <w:abstractNumId w:val="23"/>
  </w:num>
  <w:num w:numId="22">
    <w:abstractNumId w:val="5"/>
  </w:num>
  <w:num w:numId="23">
    <w:abstractNumId w:val="1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31D01"/>
    <w:rsid w:val="00033906"/>
    <w:rsid w:val="00050898"/>
    <w:rsid w:val="00054DC8"/>
    <w:rsid w:val="00055BD7"/>
    <w:rsid w:val="00056036"/>
    <w:rsid w:val="000617DB"/>
    <w:rsid w:val="000677E4"/>
    <w:rsid w:val="00073B23"/>
    <w:rsid w:val="00075486"/>
    <w:rsid w:val="00075EE8"/>
    <w:rsid w:val="000762EF"/>
    <w:rsid w:val="00081B77"/>
    <w:rsid w:val="00082022"/>
    <w:rsid w:val="000852AC"/>
    <w:rsid w:val="00085325"/>
    <w:rsid w:val="00087BA2"/>
    <w:rsid w:val="0009098F"/>
    <w:rsid w:val="00094BA7"/>
    <w:rsid w:val="0009596D"/>
    <w:rsid w:val="0009693A"/>
    <w:rsid w:val="00097EE0"/>
    <w:rsid w:val="000A085A"/>
    <w:rsid w:val="000A1A32"/>
    <w:rsid w:val="000A677C"/>
    <w:rsid w:val="000B09B6"/>
    <w:rsid w:val="000B5520"/>
    <w:rsid w:val="000B5ADF"/>
    <w:rsid w:val="000B70CC"/>
    <w:rsid w:val="000C1A72"/>
    <w:rsid w:val="000C1D0A"/>
    <w:rsid w:val="000C1DD3"/>
    <w:rsid w:val="000C2A35"/>
    <w:rsid w:val="000C2EA7"/>
    <w:rsid w:val="000D185A"/>
    <w:rsid w:val="000E117D"/>
    <w:rsid w:val="000E26FA"/>
    <w:rsid w:val="000E37D5"/>
    <w:rsid w:val="000F5B31"/>
    <w:rsid w:val="000F77D2"/>
    <w:rsid w:val="001013B9"/>
    <w:rsid w:val="00101680"/>
    <w:rsid w:val="0011628E"/>
    <w:rsid w:val="00123DBF"/>
    <w:rsid w:val="00133BBF"/>
    <w:rsid w:val="001346B8"/>
    <w:rsid w:val="001353FD"/>
    <w:rsid w:val="00147C9F"/>
    <w:rsid w:val="00150A79"/>
    <w:rsid w:val="00162966"/>
    <w:rsid w:val="00172E18"/>
    <w:rsid w:val="00175BB8"/>
    <w:rsid w:val="00177ABF"/>
    <w:rsid w:val="001816BE"/>
    <w:rsid w:val="0018577F"/>
    <w:rsid w:val="00194CA5"/>
    <w:rsid w:val="00195CD8"/>
    <w:rsid w:val="00196DB1"/>
    <w:rsid w:val="001A760E"/>
    <w:rsid w:val="001A7618"/>
    <w:rsid w:val="001B3B36"/>
    <w:rsid w:val="001C0EB7"/>
    <w:rsid w:val="001C203A"/>
    <w:rsid w:val="001D04EB"/>
    <w:rsid w:val="001D074D"/>
    <w:rsid w:val="001D2FFE"/>
    <w:rsid w:val="001D39FB"/>
    <w:rsid w:val="001E0AF7"/>
    <w:rsid w:val="001E1E76"/>
    <w:rsid w:val="001E737C"/>
    <w:rsid w:val="001F41A4"/>
    <w:rsid w:val="001F79CA"/>
    <w:rsid w:val="001F7D95"/>
    <w:rsid w:val="0020207C"/>
    <w:rsid w:val="00202F3A"/>
    <w:rsid w:val="002052AE"/>
    <w:rsid w:val="00206C6A"/>
    <w:rsid w:val="00213064"/>
    <w:rsid w:val="00214427"/>
    <w:rsid w:val="002159B6"/>
    <w:rsid w:val="00220CDD"/>
    <w:rsid w:val="00222A24"/>
    <w:rsid w:val="002241B3"/>
    <w:rsid w:val="0022594D"/>
    <w:rsid w:val="00230CD0"/>
    <w:rsid w:val="00243548"/>
    <w:rsid w:val="00245A31"/>
    <w:rsid w:val="00245A7F"/>
    <w:rsid w:val="00246644"/>
    <w:rsid w:val="002526B8"/>
    <w:rsid w:val="002528F7"/>
    <w:rsid w:val="0025565B"/>
    <w:rsid w:val="00255DA1"/>
    <w:rsid w:val="002565FA"/>
    <w:rsid w:val="0026193B"/>
    <w:rsid w:val="00272D65"/>
    <w:rsid w:val="002764E4"/>
    <w:rsid w:val="00277DAD"/>
    <w:rsid w:val="00281B6D"/>
    <w:rsid w:val="00283E28"/>
    <w:rsid w:val="002851D1"/>
    <w:rsid w:val="0029035F"/>
    <w:rsid w:val="00294E3A"/>
    <w:rsid w:val="00297C14"/>
    <w:rsid w:val="002A0D65"/>
    <w:rsid w:val="002A12F5"/>
    <w:rsid w:val="002C2419"/>
    <w:rsid w:val="002C31FB"/>
    <w:rsid w:val="002C3B62"/>
    <w:rsid w:val="002E014B"/>
    <w:rsid w:val="002E1B9D"/>
    <w:rsid w:val="002E3A0E"/>
    <w:rsid w:val="002F5493"/>
    <w:rsid w:val="002F7FBD"/>
    <w:rsid w:val="00300CCF"/>
    <w:rsid w:val="003026E1"/>
    <w:rsid w:val="00304CFD"/>
    <w:rsid w:val="00304F32"/>
    <w:rsid w:val="0030659C"/>
    <w:rsid w:val="00315770"/>
    <w:rsid w:val="00320677"/>
    <w:rsid w:val="003276B9"/>
    <w:rsid w:val="0033056D"/>
    <w:rsid w:val="00330C37"/>
    <w:rsid w:val="0033241D"/>
    <w:rsid w:val="003338B0"/>
    <w:rsid w:val="0033625F"/>
    <w:rsid w:val="003455E7"/>
    <w:rsid w:val="003510D2"/>
    <w:rsid w:val="0036064F"/>
    <w:rsid w:val="00361355"/>
    <w:rsid w:val="00370EA4"/>
    <w:rsid w:val="00372F52"/>
    <w:rsid w:val="00381FB8"/>
    <w:rsid w:val="00382381"/>
    <w:rsid w:val="003827E1"/>
    <w:rsid w:val="00392ECF"/>
    <w:rsid w:val="003A00FE"/>
    <w:rsid w:val="003A069D"/>
    <w:rsid w:val="003A2BEF"/>
    <w:rsid w:val="003A3B7D"/>
    <w:rsid w:val="003A5401"/>
    <w:rsid w:val="003B5722"/>
    <w:rsid w:val="003B74F8"/>
    <w:rsid w:val="003C0DD7"/>
    <w:rsid w:val="003C59F0"/>
    <w:rsid w:val="003C7C87"/>
    <w:rsid w:val="003D09AA"/>
    <w:rsid w:val="003D24E8"/>
    <w:rsid w:val="003D5A1D"/>
    <w:rsid w:val="003E0575"/>
    <w:rsid w:val="003E12FA"/>
    <w:rsid w:val="003E1BC7"/>
    <w:rsid w:val="003E57B4"/>
    <w:rsid w:val="003E67CF"/>
    <w:rsid w:val="003F18AA"/>
    <w:rsid w:val="003F64A3"/>
    <w:rsid w:val="003F7094"/>
    <w:rsid w:val="0040031F"/>
    <w:rsid w:val="004016D4"/>
    <w:rsid w:val="00402F93"/>
    <w:rsid w:val="004033DE"/>
    <w:rsid w:val="00405262"/>
    <w:rsid w:val="004118CC"/>
    <w:rsid w:val="00412E75"/>
    <w:rsid w:val="004230B5"/>
    <w:rsid w:val="00423509"/>
    <w:rsid w:val="00427623"/>
    <w:rsid w:val="00433DBE"/>
    <w:rsid w:val="00437142"/>
    <w:rsid w:val="004427BA"/>
    <w:rsid w:val="004570FD"/>
    <w:rsid w:val="004571B9"/>
    <w:rsid w:val="004627EA"/>
    <w:rsid w:val="004630A8"/>
    <w:rsid w:val="00464B1E"/>
    <w:rsid w:val="004675B3"/>
    <w:rsid w:val="0047073B"/>
    <w:rsid w:val="004757AD"/>
    <w:rsid w:val="00475BEF"/>
    <w:rsid w:val="00482D34"/>
    <w:rsid w:val="004849DE"/>
    <w:rsid w:val="00486A29"/>
    <w:rsid w:val="004945A5"/>
    <w:rsid w:val="00495FDA"/>
    <w:rsid w:val="00497722"/>
    <w:rsid w:val="004A0015"/>
    <w:rsid w:val="004A2463"/>
    <w:rsid w:val="004B236A"/>
    <w:rsid w:val="004B245F"/>
    <w:rsid w:val="004B3F25"/>
    <w:rsid w:val="004B48C3"/>
    <w:rsid w:val="004C1BAD"/>
    <w:rsid w:val="004C42AF"/>
    <w:rsid w:val="004C4C6F"/>
    <w:rsid w:val="004C53F6"/>
    <w:rsid w:val="004D24DE"/>
    <w:rsid w:val="004D644A"/>
    <w:rsid w:val="004E0590"/>
    <w:rsid w:val="004E3487"/>
    <w:rsid w:val="00501DF8"/>
    <w:rsid w:val="0050306D"/>
    <w:rsid w:val="0050334C"/>
    <w:rsid w:val="00517A06"/>
    <w:rsid w:val="00517C92"/>
    <w:rsid w:val="00520A28"/>
    <w:rsid w:val="00520B2A"/>
    <w:rsid w:val="00527141"/>
    <w:rsid w:val="00534CEF"/>
    <w:rsid w:val="005365C3"/>
    <w:rsid w:val="0054355C"/>
    <w:rsid w:val="00543FFF"/>
    <w:rsid w:val="00545E64"/>
    <w:rsid w:val="00552BFD"/>
    <w:rsid w:val="00553C83"/>
    <w:rsid w:val="00554292"/>
    <w:rsid w:val="00566B93"/>
    <w:rsid w:val="00575348"/>
    <w:rsid w:val="0058427C"/>
    <w:rsid w:val="00586AA8"/>
    <w:rsid w:val="00586E8C"/>
    <w:rsid w:val="00592A53"/>
    <w:rsid w:val="0059415E"/>
    <w:rsid w:val="00596F92"/>
    <w:rsid w:val="005A321B"/>
    <w:rsid w:val="005A5CE8"/>
    <w:rsid w:val="005A649B"/>
    <w:rsid w:val="005B1CA8"/>
    <w:rsid w:val="005C064E"/>
    <w:rsid w:val="005D0BE3"/>
    <w:rsid w:val="005D4581"/>
    <w:rsid w:val="005D61A4"/>
    <w:rsid w:val="005D6346"/>
    <w:rsid w:val="005F1795"/>
    <w:rsid w:val="005F455F"/>
    <w:rsid w:val="00603D36"/>
    <w:rsid w:val="00611A2B"/>
    <w:rsid w:val="006164EB"/>
    <w:rsid w:val="006173D6"/>
    <w:rsid w:val="0061798E"/>
    <w:rsid w:val="00617BFC"/>
    <w:rsid w:val="00623B1C"/>
    <w:rsid w:val="0062652D"/>
    <w:rsid w:val="0062740F"/>
    <w:rsid w:val="00633367"/>
    <w:rsid w:val="00636865"/>
    <w:rsid w:val="00642195"/>
    <w:rsid w:val="006469CD"/>
    <w:rsid w:val="00652E5C"/>
    <w:rsid w:val="00657BD4"/>
    <w:rsid w:val="0066328A"/>
    <w:rsid w:val="00670A7C"/>
    <w:rsid w:val="00676E91"/>
    <w:rsid w:val="00677FBC"/>
    <w:rsid w:val="0068013E"/>
    <w:rsid w:val="00680FFD"/>
    <w:rsid w:val="006912F7"/>
    <w:rsid w:val="00696623"/>
    <w:rsid w:val="0069663D"/>
    <w:rsid w:val="006A0636"/>
    <w:rsid w:val="006A5CF4"/>
    <w:rsid w:val="006B031A"/>
    <w:rsid w:val="006B0FC2"/>
    <w:rsid w:val="006B17FC"/>
    <w:rsid w:val="006B3745"/>
    <w:rsid w:val="006B5E67"/>
    <w:rsid w:val="006C16FD"/>
    <w:rsid w:val="006C5DF2"/>
    <w:rsid w:val="006D3181"/>
    <w:rsid w:val="006E00CA"/>
    <w:rsid w:val="006E00D3"/>
    <w:rsid w:val="006E405E"/>
    <w:rsid w:val="006F07F5"/>
    <w:rsid w:val="006F500E"/>
    <w:rsid w:val="006F6960"/>
    <w:rsid w:val="007024FF"/>
    <w:rsid w:val="0070597B"/>
    <w:rsid w:val="00706136"/>
    <w:rsid w:val="007072FF"/>
    <w:rsid w:val="007075BA"/>
    <w:rsid w:val="007161C9"/>
    <w:rsid w:val="0071623C"/>
    <w:rsid w:val="00723676"/>
    <w:rsid w:val="00725170"/>
    <w:rsid w:val="00727445"/>
    <w:rsid w:val="00727BAD"/>
    <w:rsid w:val="007302E3"/>
    <w:rsid w:val="00732EA5"/>
    <w:rsid w:val="007370BA"/>
    <w:rsid w:val="007376D1"/>
    <w:rsid w:val="007412EC"/>
    <w:rsid w:val="00747BBB"/>
    <w:rsid w:val="007512CD"/>
    <w:rsid w:val="007535B8"/>
    <w:rsid w:val="0076476A"/>
    <w:rsid w:val="00767224"/>
    <w:rsid w:val="00793664"/>
    <w:rsid w:val="007A3A13"/>
    <w:rsid w:val="007B58F3"/>
    <w:rsid w:val="007B7AF6"/>
    <w:rsid w:val="007C1588"/>
    <w:rsid w:val="007C1D46"/>
    <w:rsid w:val="007C6AA0"/>
    <w:rsid w:val="007D0BC7"/>
    <w:rsid w:val="007D5666"/>
    <w:rsid w:val="007D6DFF"/>
    <w:rsid w:val="007D7126"/>
    <w:rsid w:val="007E01EA"/>
    <w:rsid w:val="007E1569"/>
    <w:rsid w:val="007E1DB1"/>
    <w:rsid w:val="007E3C6C"/>
    <w:rsid w:val="007E440A"/>
    <w:rsid w:val="007E5800"/>
    <w:rsid w:val="007E7B7B"/>
    <w:rsid w:val="007F2856"/>
    <w:rsid w:val="007F2D0D"/>
    <w:rsid w:val="0081033D"/>
    <w:rsid w:val="008132C6"/>
    <w:rsid w:val="00815090"/>
    <w:rsid w:val="0081533C"/>
    <w:rsid w:val="00817344"/>
    <w:rsid w:val="008175A2"/>
    <w:rsid w:val="00817B39"/>
    <w:rsid w:val="00823D83"/>
    <w:rsid w:val="00825089"/>
    <w:rsid w:val="00831618"/>
    <w:rsid w:val="00833B26"/>
    <w:rsid w:val="00834ECB"/>
    <w:rsid w:val="0083544C"/>
    <w:rsid w:val="00840685"/>
    <w:rsid w:val="008530F7"/>
    <w:rsid w:val="00853FBA"/>
    <w:rsid w:val="00854764"/>
    <w:rsid w:val="00855D64"/>
    <w:rsid w:val="00861CE8"/>
    <w:rsid w:val="00862660"/>
    <w:rsid w:val="00863BDD"/>
    <w:rsid w:val="008700A5"/>
    <w:rsid w:val="0087232F"/>
    <w:rsid w:val="00882238"/>
    <w:rsid w:val="008852FC"/>
    <w:rsid w:val="00886247"/>
    <w:rsid w:val="00890A36"/>
    <w:rsid w:val="00890F55"/>
    <w:rsid w:val="0089227B"/>
    <w:rsid w:val="00892685"/>
    <w:rsid w:val="008A0410"/>
    <w:rsid w:val="008A0BE2"/>
    <w:rsid w:val="008A5E12"/>
    <w:rsid w:val="008B1907"/>
    <w:rsid w:val="008B6E7B"/>
    <w:rsid w:val="008B7DCD"/>
    <w:rsid w:val="008C7C10"/>
    <w:rsid w:val="008D0583"/>
    <w:rsid w:val="008E07B9"/>
    <w:rsid w:val="008E265D"/>
    <w:rsid w:val="008F0D1C"/>
    <w:rsid w:val="008F2D93"/>
    <w:rsid w:val="008F71A6"/>
    <w:rsid w:val="0090119F"/>
    <w:rsid w:val="009051B5"/>
    <w:rsid w:val="0090636C"/>
    <w:rsid w:val="00907A6E"/>
    <w:rsid w:val="009231F1"/>
    <w:rsid w:val="00932FFA"/>
    <w:rsid w:val="00944486"/>
    <w:rsid w:val="009445F4"/>
    <w:rsid w:val="00946BC3"/>
    <w:rsid w:val="009520EF"/>
    <w:rsid w:val="00955A6B"/>
    <w:rsid w:val="0095727A"/>
    <w:rsid w:val="00961AF0"/>
    <w:rsid w:val="00974137"/>
    <w:rsid w:val="009757B0"/>
    <w:rsid w:val="00975F24"/>
    <w:rsid w:val="00983AA1"/>
    <w:rsid w:val="00984351"/>
    <w:rsid w:val="009917E9"/>
    <w:rsid w:val="009979FD"/>
    <w:rsid w:val="009A1CE2"/>
    <w:rsid w:val="009A461B"/>
    <w:rsid w:val="009A7A7E"/>
    <w:rsid w:val="009B1A2B"/>
    <w:rsid w:val="009B34E1"/>
    <w:rsid w:val="009B4B8C"/>
    <w:rsid w:val="009B5813"/>
    <w:rsid w:val="009B701F"/>
    <w:rsid w:val="009C4FC2"/>
    <w:rsid w:val="009C7EE9"/>
    <w:rsid w:val="009E0297"/>
    <w:rsid w:val="009E55B9"/>
    <w:rsid w:val="009E629A"/>
    <w:rsid w:val="009E6B78"/>
    <w:rsid w:val="009F1D72"/>
    <w:rsid w:val="009F2ACB"/>
    <w:rsid w:val="009F4E82"/>
    <w:rsid w:val="009F530F"/>
    <w:rsid w:val="009F5BDF"/>
    <w:rsid w:val="009F7169"/>
    <w:rsid w:val="00A0395A"/>
    <w:rsid w:val="00A0625C"/>
    <w:rsid w:val="00A112A2"/>
    <w:rsid w:val="00A15AFB"/>
    <w:rsid w:val="00A20995"/>
    <w:rsid w:val="00A24DE4"/>
    <w:rsid w:val="00A32378"/>
    <w:rsid w:val="00A40C7A"/>
    <w:rsid w:val="00A4722C"/>
    <w:rsid w:val="00A514B7"/>
    <w:rsid w:val="00A532E1"/>
    <w:rsid w:val="00A55B46"/>
    <w:rsid w:val="00A60B7F"/>
    <w:rsid w:val="00A6333C"/>
    <w:rsid w:val="00A738A1"/>
    <w:rsid w:val="00A73941"/>
    <w:rsid w:val="00A745E9"/>
    <w:rsid w:val="00A777EE"/>
    <w:rsid w:val="00A8085C"/>
    <w:rsid w:val="00A81BAC"/>
    <w:rsid w:val="00A83FBB"/>
    <w:rsid w:val="00A8478B"/>
    <w:rsid w:val="00A93971"/>
    <w:rsid w:val="00A959A2"/>
    <w:rsid w:val="00A960FC"/>
    <w:rsid w:val="00A967AC"/>
    <w:rsid w:val="00AA0889"/>
    <w:rsid w:val="00AA173A"/>
    <w:rsid w:val="00AA4D52"/>
    <w:rsid w:val="00AA7A6F"/>
    <w:rsid w:val="00AB352D"/>
    <w:rsid w:val="00AB5D4F"/>
    <w:rsid w:val="00AC0BE6"/>
    <w:rsid w:val="00AC2A97"/>
    <w:rsid w:val="00AC48F5"/>
    <w:rsid w:val="00AC6F5A"/>
    <w:rsid w:val="00AC786A"/>
    <w:rsid w:val="00AD13DB"/>
    <w:rsid w:val="00AD425F"/>
    <w:rsid w:val="00AD5B80"/>
    <w:rsid w:val="00AD7282"/>
    <w:rsid w:val="00AE6B1A"/>
    <w:rsid w:val="00AF022B"/>
    <w:rsid w:val="00B034C3"/>
    <w:rsid w:val="00B07C3B"/>
    <w:rsid w:val="00B11301"/>
    <w:rsid w:val="00B115C3"/>
    <w:rsid w:val="00B15B09"/>
    <w:rsid w:val="00B15EA5"/>
    <w:rsid w:val="00B2329E"/>
    <w:rsid w:val="00B25B57"/>
    <w:rsid w:val="00B34C96"/>
    <w:rsid w:val="00B43058"/>
    <w:rsid w:val="00B44020"/>
    <w:rsid w:val="00B4707A"/>
    <w:rsid w:val="00B506BB"/>
    <w:rsid w:val="00B54553"/>
    <w:rsid w:val="00B55E24"/>
    <w:rsid w:val="00B57AED"/>
    <w:rsid w:val="00B57EC8"/>
    <w:rsid w:val="00B6670F"/>
    <w:rsid w:val="00B66E02"/>
    <w:rsid w:val="00B756D3"/>
    <w:rsid w:val="00B80358"/>
    <w:rsid w:val="00B856BF"/>
    <w:rsid w:val="00B87E75"/>
    <w:rsid w:val="00B90885"/>
    <w:rsid w:val="00B916D3"/>
    <w:rsid w:val="00B96254"/>
    <w:rsid w:val="00BA2807"/>
    <w:rsid w:val="00BA3C4C"/>
    <w:rsid w:val="00BA5082"/>
    <w:rsid w:val="00BA621E"/>
    <w:rsid w:val="00BB193A"/>
    <w:rsid w:val="00BB2A62"/>
    <w:rsid w:val="00BB534E"/>
    <w:rsid w:val="00BB5693"/>
    <w:rsid w:val="00BD0568"/>
    <w:rsid w:val="00BD31CD"/>
    <w:rsid w:val="00BD37B6"/>
    <w:rsid w:val="00BD3AAE"/>
    <w:rsid w:val="00BD7206"/>
    <w:rsid w:val="00BE2078"/>
    <w:rsid w:val="00BE4B28"/>
    <w:rsid w:val="00BF2CA6"/>
    <w:rsid w:val="00BF74B8"/>
    <w:rsid w:val="00C0092B"/>
    <w:rsid w:val="00C00E34"/>
    <w:rsid w:val="00C01721"/>
    <w:rsid w:val="00C0178B"/>
    <w:rsid w:val="00C02ADF"/>
    <w:rsid w:val="00C033AC"/>
    <w:rsid w:val="00C075D2"/>
    <w:rsid w:val="00C10D8C"/>
    <w:rsid w:val="00C15E1A"/>
    <w:rsid w:val="00C15F7E"/>
    <w:rsid w:val="00C16895"/>
    <w:rsid w:val="00C226B0"/>
    <w:rsid w:val="00C30132"/>
    <w:rsid w:val="00C32541"/>
    <w:rsid w:val="00C33637"/>
    <w:rsid w:val="00C3585C"/>
    <w:rsid w:val="00C35B5C"/>
    <w:rsid w:val="00C458A4"/>
    <w:rsid w:val="00C46ED3"/>
    <w:rsid w:val="00C5302E"/>
    <w:rsid w:val="00C53663"/>
    <w:rsid w:val="00C568BF"/>
    <w:rsid w:val="00C6048D"/>
    <w:rsid w:val="00C616CF"/>
    <w:rsid w:val="00C65737"/>
    <w:rsid w:val="00C657BB"/>
    <w:rsid w:val="00C663AB"/>
    <w:rsid w:val="00C706FE"/>
    <w:rsid w:val="00C7155A"/>
    <w:rsid w:val="00C74821"/>
    <w:rsid w:val="00C757A7"/>
    <w:rsid w:val="00C86556"/>
    <w:rsid w:val="00C8692C"/>
    <w:rsid w:val="00C945C0"/>
    <w:rsid w:val="00C960A6"/>
    <w:rsid w:val="00C97DEB"/>
    <w:rsid w:val="00CA4A79"/>
    <w:rsid w:val="00CA5BBC"/>
    <w:rsid w:val="00CB212C"/>
    <w:rsid w:val="00CB2DEB"/>
    <w:rsid w:val="00CB2E0D"/>
    <w:rsid w:val="00CB4181"/>
    <w:rsid w:val="00CB5B39"/>
    <w:rsid w:val="00CC2DBA"/>
    <w:rsid w:val="00CC319B"/>
    <w:rsid w:val="00CC416B"/>
    <w:rsid w:val="00CC6834"/>
    <w:rsid w:val="00CD1CDC"/>
    <w:rsid w:val="00CD2099"/>
    <w:rsid w:val="00CD57BF"/>
    <w:rsid w:val="00CD724A"/>
    <w:rsid w:val="00CD7B88"/>
    <w:rsid w:val="00CE3E2D"/>
    <w:rsid w:val="00CE647A"/>
    <w:rsid w:val="00CF2544"/>
    <w:rsid w:val="00CF7097"/>
    <w:rsid w:val="00D06BA7"/>
    <w:rsid w:val="00D06F69"/>
    <w:rsid w:val="00D113E5"/>
    <w:rsid w:val="00D118AC"/>
    <w:rsid w:val="00D14FC8"/>
    <w:rsid w:val="00D15747"/>
    <w:rsid w:val="00D26B7A"/>
    <w:rsid w:val="00D408EE"/>
    <w:rsid w:val="00D426B6"/>
    <w:rsid w:val="00D44864"/>
    <w:rsid w:val="00D568B0"/>
    <w:rsid w:val="00D57EB4"/>
    <w:rsid w:val="00D61F68"/>
    <w:rsid w:val="00D7011D"/>
    <w:rsid w:val="00D708CC"/>
    <w:rsid w:val="00D765E5"/>
    <w:rsid w:val="00D77746"/>
    <w:rsid w:val="00D85219"/>
    <w:rsid w:val="00D8529F"/>
    <w:rsid w:val="00D92261"/>
    <w:rsid w:val="00D94C3D"/>
    <w:rsid w:val="00DA08A9"/>
    <w:rsid w:val="00DA2DA5"/>
    <w:rsid w:val="00DA34C5"/>
    <w:rsid w:val="00DA4A26"/>
    <w:rsid w:val="00DB12EF"/>
    <w:rsid w:val="00DB2705"/>
    <w:rsid w:val="00DB5BD4"/>
    <w:rsid w:val="00DB623C"/>
    <w:rsid w:val="00DC1492"/>
    <w:rsid w:val="00DC47A1"/>
    <w:rsid w:val="00DC4933"/>
    <w:rsid w:val="00DC4E02"/>
    <w:rsid w:val="00DC7F24"/>
    <w:rsid w:val="00DE1B93"/>
    <w:rsid w:val="00DE3ADA"/>
    <w:rsid w:val="00DE3E58"/>
    <w:rsid w:val="00DF0478"/>
    <w:rsid w:val="00E020B7"/>
    <w:rsid w:val="00E03576"/>
    <w:rsid w:val="00E0721F"/>
    <w:rsid w:val="00E10EF5"/>
    <w:rsid w:val="00E11320"/>
    <w:rsid w:val="00E11EF6"/>
    <w:rsid w:val="00E20378"/>
    <w:rsid w:val="00E20B07"/>
    <w:rsid w:val="00E31145"/>
    <w:rsid w:val="00E35EA5"/>
    <w:rsid w:val="00E50848"/>
    <w:rsid w:val="00E62370"/>
    <w:rsid w:val="00E6315A"/>
    <w:rsid w:val="00E672FF"/>
    <w:rsid w:val="00E723ED"/>
    <w:rsid w:val="00E74B51"/>
    <w:rsid w:val="00E818E7"/>
    <w:rsid w:val="00EA0FD6"/>
    <w:rsid w:val="00EA3F62"/>
    <w:rsid w:val="00EB67DC"/>
    <w:rsid w:val="00EB6F58"/>
    <w:rsid w:val="00EB7C9D"/>
    <w:rsid w:val="00EC0857"/>
    <w:rsid w:val="00EC1223"/>
    <w:rsid w:val="00ED1971"/>
    <w:rsid w:val="00ED1B17"/>
    <w:rsid w:val="00ED7C77"/>
    <w:rsid w:val="00EE40D3"/>
    <w:rsid w:val="00EE7969"/>
    <w:rsid w:val="00EF5FA8"/>
    <w:rsid w:val="00EF7378"/>
    <w:rsid w:val="00F01F07"/>
    <w:rsid w:val="00F30134"/>
    <w:rsid w:val="00F3113C"/>
    <w:rsid w:val="00F41DF7"/>
    <w:rsid w:val="00F42174"/>
    <w:rsid w:val="00F42AF4"/>
    <w:rsid w:val="00F44D9E"/>
    <w:rsid w:val="00F476C6"/>
    <w:rsid w:val="00F541DD"/>
    <w:rsid w:val="00F544E7"/>
    <w:rsid w:val="00F55FB7"/>
    <w:rsid w:val="00F650F2"/>
    <w:rsid w:val="00F75458"/>
    <w:rsid w:val="00F80D5D"/>
    <w:rsid w:val="00F81780"/>
    <w:rsid w:val="00F82AF0"/>
    <w:rsid w:val="00F84ADD"/>
    <w:rsid w:val="00F85271"/>
    <w:rsid w:val="00F85914"/>
    <w:rsid w:val="00F86421"/>
    <w:rsid w:val="00F86ED6"/>
    <w:rsid w:val="00F920B3"/>
    <w:rsid w:val="00F97D41"/>
    <w:rsid w:val="00FA1A4C"/>
    <w:rsid w:val="00FA1CC3"/>
    <w:rsid w:val="00FA7971"/>
    <w:rsid w:val="00FB45A3"/>
    <w:rsid w:val="00FB599C"/>
    <w:rsid w:val="00FB7BEF"/>
    <w:rsid w:val="00FC2CB7"/>
    <w:rsid w:val="00FD3D02"/>
    <w:rsid w:val="00FD4975"/>
    <w:rsid w:val="00FE3E5F"/>
    <w:rsid w:val="00FE40AB"/>
    <w:rsid w:val="00FE41C8"/>
    <w:rsid w:val="00FE4669"/>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DF26AD"/>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uiPriority w:val="39"/>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 w:type="paragraph" w:styleId="NoSpacing">
    <w:name w:val="No Spacing"/>
    <w:uiPriority w:val="1"/>
    <w:qFormat/>
    <w:rsid w:val="00D92261"/>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0995"/>
    <w:rPr>
      <w:sz w:val="24"/>
      <w:szCs w:val="24"/>
    </w:rPr>
  </w:style>
  <w:style w:type="character" w:customStyle="1" w:styleId="ReportTemplate">
    <w:name w:val="Report Template"/>
    <w:uiPriority w:val="1"/>
    <w:qFormat/>
    <w:rsid w:val="00A8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0124">
      <w:bodyDiv w:val="1"/>
      <w:marLeft w:val="0"/>
      <w:marRight w:val="0"/>
      <w:marTop w:val="0"/>
      <w:marBottom w:val="0"/>
      <w:divBdr>
        <w:top w:val="none" w:sz="0" w:space="0" w:color="auto"/>
        <w:left w:val="none" w:sz="0" w:space="0" w:color="auto"/>
        <w:bottom w:val="none" w:sz="0" w:space="0" w:color="auto"/>
        <w:right w:val="none" w:sz="0" w:space="0" w:color="auto"/>
      </w:divBdr>
    </w:div>
    <w:div w:id="946039136">
      <w:bodyDiv w:val="1"/>
      <w:marLeft w:val="0"/>
      <w:marRight w:val="0"/>
      <w:marTop w:val="0"/>
      <w:marBottom w:val="0"/>
      <w:divBdr>
        <w:top w:val="none" w:sz="0" w:space="0" w:color="auto"/>
        <w:left w:val="none" w:sz="0" w:space="0" w:color="auto"/>
        <w:bottom w:val="none" w:sz="0" w:space="0" w:color="auto"/>
        <w:right w:val="none" w:sz="0" w:space="0" w:color="auto"/>
      </w:divBdr>
    </w:div>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50A2016DB04D8BA32F8EEBFC5B90EC"/>
        <w:category>
          <w:name w:val="General"/>
          <w:gallery w:val="placeholder"/>
        </w:category>
        <w:types>
          <w:type w:val="bbPlcHdr"/>
        </w:types>
        <w:behaviors>
          <w:behavior w:val="content"/>
        </w:behaviors>
        <w:guid w:val="{E586D881-AA8E-4C3A-88C4-257DBAB0BB0F}"/>
      </w:docPartPr>
      <w:docPartBody>
        <w:p w:rsidR="00471D66" w:rsidRDefault="00AA32A0" w:rsidP="00AA32A0">
          <w:pPr>
            <w:pStyle w:val="D150A2016DB04D8BA32F8EEBFC5B90E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0"/>
    <w:rsid w:val="00471D66"/>
    <w:rsid w:val="00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2A0"/>
    <w:rPr>
      <w:color w:val="808080"/>
    </w:rPr>
  </w:style>
  <w:style w:type="paragraph" w:customStyle="1" w:styleId="D150A2016DB04D8BA32F8EEBFC5B90EC">
    <w:name w:val="D150A2016DB04D8BA32F8EEBFC5B90EC"/>
    <w:rsid w:val="00AA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Project_x0020_Keywords xmlns="0c42e574-eb01-412a-abec-28d17bedca05" xsi:nil="true"/>
    <Date xmlns="0c42e574-eb01-412a-abec-28d17bedca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xcel" ma:contentTypeID="0x010100E36CFF635486D14D86451630E8C3A6A700C2EC71C1E2D4FC4A8AF6EB132F663F1E" ma:contentTypeVersion="12" ma:contentTypeDescription="" ma:contentTypeScope="" ma:versionID="323965891ede336f03d3a0799d086a73">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1594a188233db7a4eb87d29df90dc11f"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2:TaxCatchAllLabe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1"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13D-782F-4222-9F9D-50D3E77DBD70}">
  <ds:schemaRef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0c42e574-eb01-412a-abec-28d17bedca05"/>
    <ds:schemaRef ds:uri="1c8a0e75-f4bc-4eb4-8ed0-578eaea9e1ca"/>
    <ds:schemaRef ds:uri="http://purl.org/dc/terms/"/>
  </ds:schemaRefs>
</ds:datastoreItem>
</file>

<file path=customXml/itemProps2.xml><?xml version="1.0" encoding="utf-8"?>
<ds:datastoreItem xmlns:ds="http://schemas.openxmlformats.org/officeDocument/2006/customXml" ds:itemID="{8A3217FA-443C-47EE-AD20-2AA8459A2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4.xml><?xml version="1.0" encoding="utf-8"?>
<ds:datastoreItem xmlns:ds="http://schemas.openxmlformats.org/officeDocument/2006/customXml" ds:itemID="{8E5AB3C9-32B5-4115-A0D6-561C8781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D31CF412</Template>
  <TotalTime>7</TotalTime>
  <Pages>4</Pages>
  <Words>808</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Alexander Saul</cp:lastModifiedBy>
  <cp:revision>8</cp:revision>
  <cp:lastPrinted>2018-05-16T10:05:00Z</cp:lastPrinted>
  <dcterms:created xsi:type="dcterms:W3CDTF">2018-05-16T14:20:00Z</dcterms:created>
  <dcterms:modified xsi:type="dcterms:W3CDTF">2018-05-17T10:36:00Z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0x010100E36CFF635486D14D86451630E8C3A6A700C2EC71C1E2D4FC4A8AF6EB132F663F1E</vt:lpwstr>
  </property>
</Properties>
</file>